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979" w:type="dxa"/>
        <w:jc w:val="center"/>
        <w:tblLayout w:type="fixed"/>
        <w:tblCellMar>
          <w:top w:w="0" w:type="dxa"/>
          <w:left w:w="108" w:type="dxa"/>
          <w:bottom w:w="0" w:type="dxa"/>
          <w:right w:w="108" w:type="dxa"/>
        </w:tblCellMar>
      </w:tblPr>
      <w:tblGrid>
        <w:gridCol w:w="654"/>
        <w:gridCol w:w="1170"/>
        <w:gridCol w:w="6441"/>
        <w:gridCol w:w="714"/>
      </w:tblGrid>
      <w:tr w14:paraId="4B1DF668">
        <w:tblPrEx>
          <w:tblCellMar>
            <w:top w:w="0" w:type="dxa"/>
            <w:left w:w="108" w:type="dxa"/>
            <w:bottom w:w="0" w:type="dxa"/>
            <w:right w:w="108" w:type="dxa"/>
          </w:tblCellMar>
        </w:tblPrEx>
        <w:trPr>
          <w:trHeight w:val="23"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14:paraId="10247490">
            <w:pPr>
              <w:widowControl/>
              <w:spacing w:line="300" w:lineRule="auto"/>
              <w:jc w:val="center"/>
              <w:rPr>
                <w:b/>
                <w:bCs/>
                <w:color w:val="auto"/>
                <w:kern w:val="0"/>
                <w:szCs w:val="21"/>
              </w:rPr>
            </w:pPr>
            <w:r>
              <w:rPr>
                <w:rFonts w:hint="eastAsia"/>
                <w:b/>
                <w:bCs/>
                <w:color w:val="auto"/>
                <w:kern w:val="0"/>
                <w:szCs w:val="21"/>
              </w:rPr>
              <w:t>序号</w:t>
            </w:r>
          </w:p>
        </w:tc>
        <w:tc>
          <w:tcPr>
            <w:tcW w:w="1170" w:type="dxa"/>
            <w:tcBorders>
              <w:top w:val="single" w:color="000000" w:sz="4" w:space="0"/>
              <w:left w:val="nil"/>
              <w:bottom w:val="single" w:color="000000" w:sz="4" w:space="0"/>
              <w:right w:val="single" w:color="000000" w:sz="4" w:space="0"/>
            </w:tcBorders>
            <w:vAlign w:val="center"/>
          </w:tcPr>
          <w:p w14:paraId="4BC74B3E">
            <w:pPr>
              <w:widowControl/>
              <w:spacing w:line="300" w:lineRule="auto"/>
              <w:jc w:val="center"/>
              <w:rPr>
                <w:b/>
                <w:bCs/>
                <w:color w:val="auto"/>
                <w:kern w:val="0"/>
                <w:szCs w:val="21"/>
              </w:rPr>
            </w:pPr>
            <w:r>
              <w:rPr>
                <w:rFonts w:hint="eastAsia"/>
                <w:b/>
                <w:bCs/>
                <w:color w:val="auto"/>
                <w:kern w:val="0"/>
                <w:szCs w:val="21"/>
              </w:rPr>
              <w:t>评审内容</w:t>
            </w:r>
          </w:p>
        </w:tc>
        <w:tc>
          <w:tcPr>
            <w:tcW w:w="6441" w:type="dxa"/>
            <w:tcBorders>
              <w:top w:val="single" w:color="000000" w:sz="4" w:space="0"/>
              <w:left w:val="nil"/>
              <w:bottom w:val="single" w:color="000000" w:sz="4" w:space="0"/>
              <w:right w:val="single" w:color="000000" w:sz="4" w:space="0"/>
            </w:tcBorders>
            <w:vAlign w:val="center"/>
          </w:tcPr>
          <w:p w14:paraId="446AFF10">
            <w:pPr>
              <w:widowControl/>
              <w:spacing w:line="300" w:lineRule="auto"/>
              <w:jc w:val="center"/>
              <w:rPr>
                <w:b/>
                <w:bCs/>
                <w:color w:val="auto"/>
                <w:kern w:val="0"/>
                <w:szCs w:val="21"/>
              </w:rPr>
            </w:pPr>
            <w:r>
              <w:rPr>
                <w:rFonts w:hint="eastAsia"/>
                <w:b/>
                <w:bCs/>
                <w:color w:val="auto"/>
                <w:kern w:val="0"/>
                <w:szCs w:val="21"/>
              </w:rPr>
              <w:t>评分标准</w:t>
            </w:r>
          </w:p>
        </w:tc>
        <w:tc>
          <w:tcPr>
            <w:tcW w:w="714" w:type="dxa"/>
            <w:tcBorders>
              <w:top w:val="single" w:color="000000" w:sz="4" w:space="0"/>
              <w:left w:val="nil"/>
              <w:bottom w:val="single" w:color="000000" w:sz="4" w:space="0"/>
              <w:right w:val="single" w:color="000000" w:sz="4" w:space="0"/>
            </w:tcBorders>
            <w:vAlign w:val="center"/>
          </w:tcPr>
          <w:p w14:paraId="48E3038A">
            <w:pPr>
              <w:widowControl/>
              <w:spacing w:line="300" w:lineRule="auto"/>
              <w:jc w:val="center"/>
              <w:rPr>
                <w:rFonts w:hint="eastAsia"/>
                <w:b/>
                <w:bCs/>
                <w:color w:val="auto"/>
                <w:kern w:val="0"/>
                <w:szCs w:val="21"/>
              </w:rPr>
            </w:pPr>
            <w:r>
              <w:rPr>
                <w:rFonts w:hint="eastAsia"/>
                <w:b/>
                <w:bCs/>
                <w:color w:val="auto"/>
                <w:kern w:val="0"/>
                <w:szCs w:val="21"/>
              </w:rPr>
              <w:t>满分</w:t>
            </w:r>
          </w:p>
        </w:tc>
      </w:tr>
      <w:tr w14:paraId="2CFD13CB">
        <w:tblPrEx>
          <w:tblCellMar>
            <w:top w:w="0" w:type="dxa"/>
            <w:left w:w="108" w:type="dxa"/>
            <w:bottom w:w="0" w:type="dxa"/>
            <w:right w:w="108" w:type="dxa"/>
          </w:tblCellMar>
        </w:tblPrEx>
        <w:trPr>
          <w:trHeight w:val="23" w:hRule="atLeast"/>
          <w:jc w:val="center"/>
        </w:trPr>
        <w:tc>
          <w:tcPr>
            <w:tcW w:w="8979" w:type="dxa"/>
            <w:gridSpan w:val="4"/>
            <w:tcBorders>
              <w:top w:val="single" w:color="000000" w:sz="4" w:space="0"/>
              <w:left w:val="single" w:color="000000" w:sz="4" w:space="0"/>
              <w:bottom w:val="single" w:color="000000" w:sz="4" w:space="0"/>
              <w:right w:val="single" w:color="000000" w:sz="4" w:space="0"/>
            </w:tcBorders>
            <w:vAlign w:val="center"/>
          </w:tcPr>
          <w:p w14:paraId="4F81B6CE">
            <w:pPr>
              <w:widowControl/>
              <w:spacing w:line="300" w:lineRule="auto"/>
              <w:ind w:firstLine="420"/>
              <w:jc w:val="center"/>
              <w:rPr>
                <w:rFonts w:hint="eastAsia"/>
                <w:b/>
                <w:color w:val="auto"/>
                <w:kern w:val="0"/>
                <w:szCs w:val="21"/>
              </w:rPr>
            </w:pPr>
            <w:r>
              <w:rPr>
                <w:rFonts w:hint="eastAsia"/>
                <w:b/>
                <w:color w:val="auto"/>
                <w:kern w:val="0"/>
                <w:szCs w:val="21"/>
              </w:rPr>
              <w:t>价格部分（</w:t>
            </w:r>
            <w:r>
              <w:rPr>
                <w:rFonts w:hint="eastAsia"/>
                <w:b/>
                <w:color w:val="auto"/>
                <w:kern w:val="0"/>
                <w:szCs w:val="21"/>
                <w:lang w:val="en-US" w:eastAsia="zh-CN"/>
              </w:rPr>
              <w:t>3</w:t>
            </w:r>
            <w:r>
              <w:rPr>
                <w:rFonts w:hint="eastAsia"/>
                <w:b/>
                <w:color w:val="auto"/>
                <w:kern w:val="0"/>
                <w:szCs w:val="21"/>
              </w:rPr>
              <w:t>0分）</w:t>
            </w:r>
          </w:p>
        </w:tc>
      </w:tr>
      <w:tr w14:paraId="06C3B963">
        <w:tblPrEx>
          <w:tblCellMar>
            <w:top w:w="0" w:type="dxa"/>
            <w:left w:w="108" w:type="dxa"/>
            <w:bottom w:w="0" w:type="dxa"/>
            <w:right w:w="108" w:type="dxa"/>
          </w:tblCellMar>
        </w:tblPrEx>
        <w:trPr>
          <w:trHeight w:val="23"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14:paraId="005B6BBA">
            <w:pPr>
              <w:widowControl/>
              <w:spacing w:line="300" w:lineRule="auto"/>
              <w:jc w:val="center"/>
              <w:rPr>
                <w:color w:val="auto"/>
                <w:kern w:val="0"/>
                <w:szCs w:val="21"/>
              </w:rPr>
            </w:pPr>
            <w:r>
              <w:rPr>
                <w:rFonts w:hint="eastAsia"/>
                <w:color w:val="auto"/>
                <w:kern w:val="0"/>
                <w:szCs w:val="21"/>
              </w:rPr>
              <w:t>1</w:t>
            </w:r>
          </w:p>
        </w:tc>
        <w:tc>
          <w:tcPr>
            <w:tcW w:w="1170" w:type="dxa"/>
            <w:tcBorders>
              <w:top w:val="single" w:color="000000" w:sz="4" w:space="0"/>
              <w:left w:val="nil"/>
              <w:bottom w:val="single" w:color="000000" w:sz="4" w:space="0"/>
              <w:right w:val="single" w:color="000000" w:sz="4" w:space="0"/>
            </w:tcBorders>
            <w:vAlign w:val="center"/>
          </w:tcPr>
          <w:p w14:paraId="5305368C">
            <w:pPr>
              <w:widowControl/>
              <w:spacing w:line="300" w:lineRule="auto"/>
              <w:jc w:val="center"/>
              <w:rPr>
                <w:rFonts w:hint="eastAsia"/>
                <w:color w:val="auto"/>
                <w:kern w:val="0"/>
                <w:szCs w:val="21"/>
              </w:rPr>
            </w:pPr>
            <w:r>
              <w:rPr>
                <w:rFonts w:hint="eastAsia"/>
                <w:color w:val="auto"/>
                <w:kern w:val="0"/>
                <w:szCs w:val="21"/>
              </w:rPr>
              <w:t>遴选报价</w:t>
            </w:r>
          </w:p>
          <w:p w14:paraId="5A7F2F97">
            <w:pPr>
              <w:widowControl/>
              <w:spacing w:line="300" w:lineRule="auto"/>
              <w:jc w:val="center"/>
              <w:rPr>
                <w:color w:val="auto"/>
                <w:kern w:val="0"/>
                <w:szCs w:val="21"/>
              </w:rPr>
            </w:pPr>
            <w:r>
              <w:rPr>
                <w:rFonts w:hint="eastAsia"/>
                <w:color w:val="auto"/>
                <w:kern w:val="0"/>
                <w:szCs w:val="21"/>
              </w:rPr>
              <w:t>（</w:t>
            </w:r>
            <w:r>
              <w:rPr>
                <w:rFonts w:hint="eastAsia"/>
                <w:color w:val="auto"/>
                <w:kern w:val="0"/>
                <w:szCs w:val="21"/>
                <w:lang w:val="en-US" w:eastAsia="zh-CN"/>
              </w:rPr>
              <w:t>3</w:t>
            </w:r>
            <w:r>
              <w:rPr>
                <w:rFonts w:hint="eastAsia"/>
                <w:color w:val="auto"/>
                <w:kern w:val="0"/>
                <w:szCs w:val="21"/>
              </w:rPr>
              <w:t>0分）</w:t>
            </w:r>
          </w:p>
        </w:tc>
        <w:tc>
          <w:tcPr>
            <w:tcW w:w="6441" w:type="dxa"/>
            <w:tcBorders>
              <w:top w:val="single" w:color="000000" w:sz="4" w:space="0"/>
              <w:left w:val="nil"/>
              <w:bottom w:val="single" w:color="000000" w:sz="4" w:space="0"/>
              <w:right w:val="single" w:color="000000" w:sz="4" w:space="0"/>
            </w:tcBorders>
            <w:vAlign w:val="center"/>
          </w:tcPr>
          <w:p w14:paraId="2CB0E3E5">
            <w:pPr>
              <w:widowControl/>
              <w:spacing w:line="300" w:lineRule="auto"/>
              <w:ind w:firstLine="420"/>
              <w:rPr>
                <w:rFonts w:hint="default"/>
                <w:color w:val="auto"/>
                <w:kern w:val="0"/>
                <w:szCs w:val="21"/>
                <w:lang w:val="en-US" w:eastAsia="zh-CN"/>
              </w:rPr>
            </w:pPr>
            <w:r>
              <w:rPr>
                <w:color w:val="auto"/>
                <w:kern w:val="0"/>
                <w:szCs w:val="21"/>
                <w:lang w:val="en-US" w:eastAsia="zh-CN"/>
              </w:rPr>
              <w:t>投标报价</w:t>
            </w:r>
            <w:r>
              <w:rPr>
                <w:rFonts w:hint="eastAsia"/>
                <w:color w:val="auto"/>
                <w:kern w:val="0"/>
                <w:szCs w:val="21"/>
                <w:lang w:val="en-US" w:eastAsia="zh-CN"/>
              </w:rPr>
              <w:t>最高控制价：19,238.40元，超出控制价，本项</w:t>
            </w:r>
            <w:bookmarkStart w:id="2" w:name="_GoBack"/>
            <w:bookmarkEnd w:id="2"/>
            <w:r>
              <w:rPr>
                <w:rFonts w:hint="eastAsia"/>
                <w:color w:val="auto"/>
                <w:kern w:val="0"/>
                <w:szCs w:val="21"/>
                <w:lang w:val="en-US" w:eastAsia="zh-CN"/>
              </w:rPr>
              <w:t>得0分。</w:t>
            </w:r>
          </w:p>
          <w:p w14:paraId="125959EE">
            <w:pPr>
              <w:widowControl/>
              <w:spacing w:line="300" w:lineRule="auto"/>
              <w:ind w:firstLine="420"/>
              <w:rPr>
                <w:color w:val="auto"/>
                <w:kern w:val="0"/>
                <w:szCs w:val="21"/>
              </w:rPr>
            </w:pPr>
            <w:r>
              <w:rPr>
                <w:color w:val="auto"/>
                <w:kern w:val="0"/>
                <w:szCs w:val="21"/>
                <w:lang w:val="en-US" w:eastAsia="zh-CN"/>
              </w:rPr>
              <w:t>投标报价等于基准价得满分，每高于基准价的1%</w:t>
            </w:r>
            <w:r>
              <w:rPr>
                <w:rFonts w:hint="default"/>
                <w:color w:val="auto"/>
                <w:kern w:val="0"/>
                <w:szCs w:val="21"/>
                <w:lang w:val="en-US" w:eastAsia="zh-CN"/>
              </w:rPr>
              <w:t>的（含1%），扣0.</w:t>
            </w:r>
            <w:r>
              <w:rPr>
                <w:rFonts w:hint="eastAsia"/>
                <w:color w:val="auto"/>
                <w:kern w:val="0"/>
                <w:szCs w:val="21"/>
                <w:lang w:val="en-US" w:eastAsia="zh-CN"/>
              </w:rPr>
              <w:t>2</w:t>
            </w:r>
            <w:r>
              <w:rPr>
                <w:rFonts w:hint="default"/>
                <w:color w:val="auto"/>
                <w:kern w:val="0"/>
                <w:szCs w:val="21"/>
                <w:lang w:val="en-US" w:eastAsia="zh-CN"/>
              </w:rPr>
              <w:t>分；每低于基准价1%的（含1%），扣0.</w:t>
            </w:r>
            <w:r>
              <w:rPr>
                <w:rFonts w:hint="eastAsia"/>
                <w:color w:val="auto"/>
                <w:kern w:val="0"/>
                <w:szCs w:val="21"/>
                <w:lang w:val="en-US" w:eastAsia="zh-CN"/>
              </w:rPr>
              <w:t>2</w:t>
            </w:r>
            <w:r>
              <w:rPr>
                <w:rFonts w:hint="default"/>
                <w:color w:val="auto"/>
                <w:kern w:val="0"/>
                <w:szCs w:val="21"/>
                <w:lang w:val="en-US" w:eastAsia="zh-CN"/>
              </w:rPr>
              <w:t>分。</w:t>
            </w:r>
          </w:p>
          <w:p w14:paraId="74E00D80">
            <w:pPr>
              <w:widowControl/>
              <w:spacing w:line="300" w:lineRule="auto"/>
              <w:ind w:firstLine="420"/>
              <w:rPr>
                <w:color w:val="auto"/>
                <w:kern w:val="0"/>
                <w:szCs w:val="21"/>
              </w:rPr>
            </w:pPr>
            <w:r>
              <w:rPr>
                <w:rFonts w:hint="default"/>
                <w:color w:val="auto"/>
                <w:kern w:val="0"/>
                <w:szCs w:val="21"/>
                <w:lang w:val="en-US" w:eastAsia="zh-CN"/>
              </w:rPr>
              <w:t>评标价得分计算公式示例：</w:t>
            </w:r>
          </w:p>
          <w:p w14:paraId="22B0ABB6">
            <w:pPr>
              <w:widowControl/>
              <w:spacing w:line="300" w:lineRule="auto"/>
              <w:ind w:firstLine="420"/>
              <w:rPr>
                <w:color w:val="auto"/>
                <w:kern w:val="0"/>
                <w:szCs w:val="21"/>
              </w:rPr>
            </w:pPr>
            <w:r>
              <w:rPr>
                <w:rFonts w:hint="default"/>
                <w:color w:val="auto"/>
                <w:kern w:val="0"/>
                <w:szCs w:val="21"/>
                <w:lang w:val="en-US" w:eastAsia="zh-CN"/>
              </w:rPr>
              <w:t>（1）如果投标人的评标价&gt;评标基准价，则评标价得分=F-偏差率*100*E1；</w:t>
            </w:r>
          </w:p>
          <w:p w14:paraId="002615F1">
            <w:pPr>
              <w:widowControl/>
              <w:spacing w:line="300" w:lineRule="auto"/>
              <w:ind w:firstLine="420"/>
              <w:rPr>
                <w:color w:val="auto"/>
                <w:kern w:val="0"/>
                <w:szCs w:val="21"/>
              </w:rPr>
            </w:pPr>
            <w:r>
              <w:rPr>
                <w:rFonts w:hint="default"/>
                <w:color w:val="auto"/>
                <w:kern w:val="0"/>
                <w:szCs w:val="21"/>
                <w:lang w:val="en-US" w:eastAsia="zh-CN"/>
              </w:rPr>
              <w:t>（2）如果投标人的评标价≤评标基准价，则评标价得分=F+偏差率*100*E2；</w:t>
            </w:r>
          </w:p>
          <w:p w14:paraId="7D98F6C7">
            <w:pPr>
              <w:widowControl/>
              <w:spacing w:line="300" w:lineRule="auto"/>
              <w:ind w:firstLine="420"/>
              <w:rPr>
                <w:color w:val="auto"/>
                <w:kern w:val="0"/>
                <w:szCs w:val="21"/>
              </w:rPr>
            </w:pPr>
            <w:r>
              <w:rPr>
                <w:rFonts w:hint="default"/>
                <w:color w:val="auto"/>
                <w:kern w:val="0"/>
                <w:szCs w:val="21"/>
                <w:lang w:val="en-US" w:eastAsia="zh-CN"/>
              </w:rPr>
              <w:t>其中：F为投标报价满分值；</w:t>
            </w:r>
          </w:p>
          <w:p w14:paraId="25BD2AD5">
            <w:pPr>
              <w:widowControl/>
              <w:spacing w:line="300" w:lineRule="auto"/>
              <w:ind w:firstLine="420"/>
              <w:rPr>
                <w:color w:val="auto"/>
                <w:kern w:val="0"/>
                <w:szCs w:val="21"/>
              </w:rPr>
            </w:pPr>
            <w:r>
              <w:rPr>
                <w:rFonts w:hint="default"/>
                <w:color w:val="auto"/>
                <w:kern w:val="0"/>
                <w:szCs w:val="21"/>
                <w:lang w:val="en-US" w:eastAsia="zh-CN"/>
              </w:rPr>
              <w:t>E1是评标价每高于评标基准价一个百分点的扣分值；</w:t>
            </w:r>
          </w:p>
          <w:p w14:paraId="58BE4690">
            <w:pPr>
              <w:widowControl/>
              <w:spacing w:line="300" w:lineRule="auto"/>
              <w:ind w:firstLine="420"/>
              <w:rPr>
                <w:color w:val="auto"/>
                <w:kern w:val="0"/>
                <w:szCs w:val="21"/>
              </w:rPr>
            </w:pPr>
            <w:r>
              <w:rPr>
                <w:rFonts w:hint="default"/>
                <w:color w:val="auto"/>
                <w:kern w:val="0"/>
                <w:szCs w:val="21"/>
                <w:lang w:val="en-US" w:eastAsia="zh-CN"/>
              </w:rPr>
              <w:t>E2是评标价每低于评标基准价一个百分点的扣分值；</w:t>
            </w:r>
          </w:p>
          <w:p w14:paraId="5A2CE5D0">
            <w:pPr>
              <w:widowControl/>
              <w:spacing w:line="300" w:lineRule="auto"/>
              <w:ind w:firstLine="420"/>
              <w:rPr>
                <w:color w:val="auto"/>
                <w:kern w:val="0"/>
                <w:szCs w:val="21"/>
              </w:rPr>
            </w:pPr>
            <w:r>
              <w:rPr>
                <w:color w:val="auto"/>
                <w:kern w:val="0"/>
                <w:szCs w:val="21"/>
                <w:lang w:val="en-US" w:eastAsia="zh-CN"/>
              </w:rPr>
              <w:t>偏差率=100%*（投标人评标价—评标基准价）/评标</w:t>
            </w:r>
            <w:r>
              <w:rPr>
                <w:rFonts w:hint="default"/>
                <w:color w:val="auto"/>
                <w:kern w:val="0"/>
                <w:szCs w:val="21"/>
                <w:lang w:val="en-US" w:eastAsia="zh-CN"/>
              </w:rPr>
              <w:t>基准价</w:t>
            </w:r>
          </w:p>
          <w:p w14:paraId="5595EEF5">
            <w:pPr>
              <w:widowControl/>
              <w:spacing w:line="300" w:lineRule="auto"/>
              <w:ind w:firstLine="420"/>
              <w:rPr>
                <w:color w:val="auto"/>
                <w:kern w:val="0"/>
                <w:szCs w:val="21"/>
              </w:rPr>
            </w:pPr>
            <w:r>
              <w:rPr>
                <w:rFonts w:hint="default"/>
                <w:color w:val="auto"/>
                <w:kern w:val="0"/>
                <w:szCs w:val="21"/>
                <w:lang w:val="en-US" w:eastAsia="zh-CN"/>
              </w:rPr>
              <w:t>评标基准价</w:t>
            </w:r>
            <w:r>
              <w:rPr>
                <w:rFonts w:hint="eastAsia"/>
                <w:color w:val="auto"/>
                <w:kern w:val="0"/>
                <w:szCs w:val="21"/>
                <w:lang w:val="en-US" w:eastAsia="zh-CN"/>
              </w:rPr>
              <w:t>：</w:t>
            </w:r>
            <w:r>
              <w:rPr>
                <w:color w:val="auto"/>
                <w:kern w:val="0"/>
                <w:szCs w:val="21"/>
              </w:rPr>
              <w:t>有效报价数量≤5家，直接取全部有效报价的算术平均值作为评标基准价；若有效报价数量＞5家，需先剔除1个最高有效报价和1个最低有效报价，再取剩余有效报价的算术平均值作为评标基准价。</w:t>
            </w:r>
          </w:p>
        </w:tc>
        <w:tc>
          <w:tcPr>
            <w:tcW w:w="714" w:type="dxa"/>
            <w:tcBorders>
              <w:top w:val="single" w:color="000000" w:sz="4" w:space="0"/>
              <w:left w:val="nil"/>
              <w:bottom w:val="single" w:color="000000" w:sz="4" w:space="0"/>
              <w:right w:val="single" w:color="000000" w:sz="4" w:space="0"/>
            </w:tcBorders>
            <w:vAlign w:val="center"/>
          </w:tcPr>
          <w:p w14:paraId="1EB1287D">
            <w:pPr>
              <w:widowControl/>
              <w:spacing w:line="300" w:lineRule="auto"/>
              <w:jc w:val="center"/>
              <w:rPr>
                <w:b/>
                <w:bCs/>
                <w:color w:val="auto"/>
                <w:kern w:val="0"/>
                <w:szCs w:val="21"/>
              </w:rPr>
            </w:pPr>
            <w:r>
              <w:rPr>
                <w:rFonts w:hint="eastAsia"/>
                <w:color w:val="auto"/>
                <w:kern w:val="0"/>
                <w:szCs w:val="21"/>
                <w:lang w:val="en-US" w:eastAsia="zh-CN"/>
              </w:rPr>
              <w:t>3</w:t>
            </w:r>
            <w:r>
              <w:rPr>
                <w:rFonts w:hint="eastAsia"/>
                <w:color w:val="auto"/>
                <w:kern w:val="0"/>
                <w:szCs w:val="21"/>
              </w:rPr>
              <w:t>0</w:t>
            </w:r>
          </w:p>
        </w:tc>
      </w:tr>
      <w:tr w14:paraId="37CBC3BB">
        <w:tblPrEx>
          <w:tblCellMar>
            <w:top w:w="0" w:type="dxa"/>
            <w:left w:w="108" w:type="dxa"/>
            <w:bottom w:w="0" w:type="dxa"/>
            <w:right w:w="108" w:type="dxa"/>
          </w:tblCellMar>
        </w:tblPrEx>
        <w:trPr>
          <w:trHeight w:val="23" w:hRule="atLeast"/>
          <w:jc w:val="center"/>
        </w:trPr>
        <w:tc>
          <w:tcPr>
            <w:tcW w:w="8979" w:type="dxa"/>
            <w:gridSpan w:val="4"/>
            <w:tcBorders>
              <w:top w:val="single" w:color="000000" w:sz="4" w:space="0"/>
              <w:left w:val="single" w:color="000000" w:sz="4" w:space="0"/>
              <w:bottom w:val="single" w:color="000000" w:sz="4" w:space="0"/>
              <w:right w:val="single" w:color="000000" w:sz="4" w:space="0"/>
            </w:tcBorders>
            <w:vAlign w:val="center"/>
          </w:tcPr>
          <w:p w14:paraId="71AEA7CD">
            <w:pPr>
              <w:widowControl/>
              <w:spacing w:line="300" w:lineRule="auto"/>
              <w:jc w:val="center"/>
              <w:rPr>
                <w:rFonts w:hint="eastAsia"/>
                <w:b/>
                <w:color w:val="auto"/>
                <w:kern w:val="0"/>
                <w:szCs w:val="21"/>
              </w:rPr>
            </w:pPr>
            <w:r>
              <w:rPr>
                <w:rFonts w:hint="eastAsia"/>
                <w:b/>
                <w:color w:val="auto"/>
                <w:kern w:val="0"/>
                <w:szCs w:val="21"/>
              </w:rPr>
              <w:t>商务部分（</w:t>
            </w:r>
            <w:r>
              <w:rPr>
                <w:rFonts w:hint="eastAsia"/>
                <w:b/>
                <w:color w:val="auto"/>
                <w:kern w:val="0"/>
                <w:szCs w:val="21"/>
                <w:lang w:val="en-US" w:eastAsia="zh-CN"/>
              </w:rPr>
              <w:t>30</w:t>
            </w:r>
            <w:r>
              <w:rPr>
                <w:rFonts w:hint="eastAsia"/>
                <w:b/>
                <w:color w:val="auto"/>
                <w:kern w:val="0"/>
                <w:szCs w:val="21"/>
              </w:rPr>
              <w:t>分）</w:t>
            </w:r>
          </w:p>
        </w:tc>
      </w:tr>
      <w:tr w14:paraId="2C717F53">
        <w:tblPrEx>
          <w:tblCellMar>
            <w:top w:w="0" w:type="dxa"/>
            <w:left w:w="108" w:type="dxa"/>
            <w:bottom w:w="0" w:type="dxa"/>
            <w:right w:w="108" w:type="dxa"/>
          </w:tblCellMar>
        </w:tblPrEx>
        <w:trPr>
          <w:trHeight w:val="23"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14:paraId="6F81E24D">
            <w:pPr>
              <w:widowControl/>
              <w:spacing w:line="300" w:lineRule="auto"/>
              <w:jc w:val="center"/>
              <w:rPr>
                <w:rFonts w:hint="eastAsia" w:eastAsia="宋体"/>
                <w:color w:val="auto"/>
                <w:kern w:val="0"/>
                <w:szCs w:val="21"/>
                <w:lang w:eastAsia="zh-CN"/>
              </w:rPr>
            </w:pPr>
            <w:r>
              <w:rPr>
                <w:rFonts w:hint="eastAsia"/>
                <w:color w:val="auto"/>
                <w:kern w:val="0"/>
                <w:szCs w:val="21"/>
                <w:lang w:val="en-US" w:eastAsia="zh-CN"/>
              </w:rPr>
              <w:t>2</w:t>
            </w:r>
          </w:p>
        </w:tc>
        <w:tc>
          <w:tcPr>
            <w:tcW w:w="1170" w:type="dxa"/>
            <w:tcBorders>
              <w:top w:val="single" w:color="000000" w:sz="4" w:space="0"/>
              <w:left w:val="nil"/>
              <w:bottom w:val="single" w:color="000000" w:sz="4" w:space="0"/>
              <w:right w:val="single" w:color="000000" w:sz="4" w:space="0"/>
            </w:tcBorders>
            <w:vAlign w:val="center"/>
          </w:tcPr>
          <w:p w14:paraId="5264A952">
            <w:pPr>
              <w:widowControl/>
              <w:spacing w:line="300" w:lineRule="auto"/>
              <w:jc w:val="center"/>
              <w:rPr>
                <w:rFonts w:hint="eastAsia"/>
                <w:color w:val="auto"/>
                <w:kern w:val="0"/>
                <w:szCs w:val="21"/>
              </w:rPr>
            </w:pPr>
            <w:r>
              <w:rPr>
                <w:rFonts w:hint="eastAsia"/>
                <w:color w:val="auto"/>
                <w:kern w:val="0"/>
                <w:szCs w:val="21"/>
              </w:rPr>
              <w:t>招标代理业绩情况（</w:t>
            </w:r>
            <w:r>
              <w:rPr>
                <w:rFonts w:hint="eastAsia"/>
                <w:color w:val="auto"/>
                <w:kern w:val="0"/>
                <w:szCs w:val="21"/>
                <w:lang w:val="en-US" w:eastAsia="zh-CN"/>
              </w:rPr>
              <w:t>15</w:t>
            </w:r>
            <w:r>
              <w:rPr>
                <w:rFonts w:hint="eastAsia"/>
                <w:color w:val="auto"/>
                <w:kern w:val="0"/>
                <w:szCs w:val="21"/>
              </w:rPr>
              <w:t>分）</w:t>
            </w:r>
          </w:p>
        </w:tc>
        <w:tc>
          <w:tcPr>
            <w:tcW w:w="6441" w:type="dxa"/>
            <w:tcBorders>
              <w:top w:val="single" w:color="000000" w:sz="4" w:space="0"/>
              <w:left w:val="nil"/>
              <w:bottom w:val="single" w:color="000000" w:sz="4" w:space="0"/>
              <w:right w:val="single" w:color="000000" w:sz="4" w:space="0"/>
            </w:tcBorders>
            <w:vAlign w:val="center"/>
          </w:tcPr>
          <w:p w14:paraId="024DE35D">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color w:val="auto"/>
                <w:kern w:val="0"/>
                <w:szCs w:val="21"/>
              </w:rPr>
            </w:pPr>
            <w:r>
              <w:rPr>
                <w:rFonts w:hint="eastAsia"/>
                <w:color w:val="auto"/>
                <w:kern w:val="0"/>
                <w:szCs w:val="21"/>
              </w:rPr>
              <w:t>202</w:t>
            </w:r>
            <w:r>
              <w:rPr>
                <w:rFonts w:hint="eastAsia"/>
                <w:color w:val="auto"/>
                <w:kern w:val="0"/>
                <w:szCs w:val="21"/>
                <w:lang w:val="en-US" w:eastAsia="zh-CN"/>
              </w:rPr>
              <w:t>1</w:t>
            </w:r>
            <w:r>
              <w:rPr>
                <w:rFonts w:hint="eastAsia"/>
                <w:color w:val="auto"/>
                <w:kern w:val="0"/>
                <w:szCs w:val="21"/>
              </w:rPr>
              <w:t>年1月1日以来，</w:t>
            </w:r>
            <w:r>
              <w:rPr>
                <w:rFonts w:hint="eastAsia"/>
                <w:color w:val="auto"/>
                <w:kern w:val="0"/>
                <w:szCs w:val="21"/>
                <w:lang w:val="en-US" w:eastAsia="zh-CN"/>
              </w:rPr>
              <w:t>除了资格要求得2个业绩外，每额外提供一个信息化服务类采购代理业绩加3</w:t>
            </w:r>
            <w:r>
              <w:rPr>
                <w:rFonts w:hint="eastAsia"/>
                <w:color w:val="auto"/>
                <w:kern w:val="0"/>
                <w:szCs w:val="21"/>
              </w:rPr>
              <w:t>分（本项最多得</w:t>
            </w:r>
            <w:r>
              <w:rPr>
                <w:rFonts w:hint="eastAsia"/>
                <w:color w:val="auto"/>
                <w:kern w:val="0"/>
                <w:szCs w:val="21"/>
                <w:lang w:val="en-US" w:eastAsia="zh-CN"/>
              </w:rPr>
              <w:t>15</w:t>
            </w:r>
            <w:r>
              <w:rPr>
                <w:rFonts w:hint="eastAsia"/>
                <w:color w:val="auto"/>
                <w:kern w:val="0"/>
                <w:szCs w:val="21"/>
              </w:rPr>
              <w:t>分）；</w:t>
            </w:r>
          </w:p>
          <w:p w14:paraId="1A1DE3F8">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color w:val="auto"/>
                <w:kern w:val="0"/>
                <w:szCs w:val="21"/>
              </w:rPr>
            </w:pPr>
            <w:r>
              <w:rPr>
                <w:rFonts w:hint="eastAsia"/>
                <w:color w:val="auto"/>
                <w:kern w:val="0"/>
                <w:szCs w:val="21"/>
              </w:rPr>
              <w:t>（注：</w:t>
            </w:r>
            <w:r>
              <w:rPr>
                <w:rFonts w:hint="eastAsia"/>
                <w:color w:val="auto"/>
                <w:kern w:val="0"/>
                <w:szCs w:val="21"/>
                <w:lang w:val="en-US" w:eastAsia="zh-CN"/>
              </w:rPr>
              <w:t>所有业绩均</w:t>
            </w:r>
            <w:r>
              <w:rPr>
                <w:rFonts w:hint="eastAsia"/>
                <w:color w:val="auto"/>
                <w:kern w:val="0"/>
                <w:szCs w:val="21"/>
              </w:rPr>
              <w:t>需提供业绩证明材料，材料应清晰体现以下关键信息并加盖响应单位公章：① 项目名称；</w:t>
            </w:r>
            <w:r>
              <w:rPr>
                <w:rFonts w:hint="eastAsia"/>
                <w:color w:val="auto"/>
                <w:kern w:val="0"/>
                <w:szCs w:val="21"/>
                <w:lang w:val="en-US" w:eastAsia="zh-CN"/>
              </w:rPr>
              <w:t>②合同</w:t>
            </w:r>
            <w:r>
              <w:rPr>
                <w:rFonts w:hint="eastAsia"/>
                <w:color w:val="auto"/>
                <w:kern w:val="0"/>
                <w:szCs w:val="21"/>
              </w:rPr>
              <w:t>内容</w:t>
            </w:r>
            <w:r>
              <w:rPr>
                <w:rFonts w:hint="eastAsia"/>
                <w:color w:val="auto"/>
                <w:kern w:val="0"/>
                <w:szCs w:val="21"/>
                <w:lang w:val="en-US" w:eastAsia="zh-CN"/>
              </w:rPr>
              <w:t>包含信息化服务类项目表述（项目名称中明显包含相关描述的，亦视为符合要求。）</w:t>
            </w:r>
            <w:r>
              <w:rPr>
                <w:rFonts w:hint="eastAsia"/>
                <w:color w:val="auto"/>
                <w:kern w:val="0"/>
                <w:szCs w:val="21"/>
              </w:rPr>
              <w:t>；③ 合同签订日期（需在 2021 年 1 月 1 日及以后）；④ 响应单位作为采购代理机构的相关证明（如合同甲方 / 乙方落款、委托代理协议关键页等）。无需提供合同完整文本，可提供包含上述关键信息的合同关键页复印件或扫描件。）</w:t>
            </w:r>
          </w:p>
        </w:tc>
        <w:tc>
          <w:tcPr>
            <w:tcW w:w="714" w:type="dxa"/>
            <w:tcBorders>
              <w:top w:val="single" w:color="000000" w:sz="4" w:space="0"/>
              <w:left w:val="nil"/>
              <w:bottom w:val="single" w:color="000000" w:sz="4" w:space="0"/>
              <w:right w:val="single" w:color="000000" w:sz="4" w:space="0"/>
            </w:tcBorders>
            <w:vAlign w:val="center"/>
          </w:tcPr>
          <w:p w14:paraId="0168A081">
            <w:pPr>
              <w:widowControl/>
              <w:spacing w:line="300" w:lineRule="auto"/>
              <w:jc w:val="center"/>
              <w:rPr>
                <w:rFonts w:hint="default" w:eastAsia="宋体" w:cs="宋体"/>
                <w:color w:val="auto"/>
                <w:szCs w:val="21"/>
                <w:lang w:val="en-US" w:eastAsia="zh-CN"/>
              </w:rPr>
            </w:pPr>
            <w:r>
              <w:rPr>
                <w:rFonts w:hint="eastAsia" w:cs="宋体"/>
                <w:color w:val="auto"/>
                <w:szCs w:val="21"/>
                <w:lang w:val="en-US" w:eastAsia="zh-CN"/>
              </w:rPr>
              <w:t>15</w:t>
            </w:r>
          </w:p>
        </w:tc>
      </w:tr>
      <w:tr w14:paraId="71287AD8">
        <w:tblPrEx>
          <w:tblCellMar>
            <w:top w:w="0" w:type="dxa"/>
            <w:left w:w="108" w:type="dxa"/>
            <w:bottom w:w="0" w:type="dxa"/>
            <w:right w:w="108" w:type="dxa"/>
          </w:tblCellMar>
        </w:tblPrEx>
        <w:trPr>
          <w:trHeight w:val="23" w:hRule="atLeast"/>
          <w:jc w:val="center"/>
        </w:trPr>
        <w:tc>
          <w:tcPr>
            <w:tcW w:w="654" w:type="dxa"/>
            <w:vMerge w:val="restart"/>
            <w:tcBorders>
              <w:top w:val="single" w:color="000000" w:sz="4" w:space="0"/>
              <w:left w:val="single" w:color="000000" w:sz="4" w:space="0"/>
              <w:right w:val="single" w:color="000000" w:sz="4" w:space="0"/>
            </w:tcBorders>
            <w:vAlign w:val="center"/>
          </w:tcPr>
          <w:p w14:paraId="522CBA19">
            <w:pPr>
              <w:widowControl/>
              <w:spacing w:line="300" w:lineRule="auto"/>
              <w:jc w:val="center"/>
              <w:rPr>
                <w:rFonts w:hint="eastAsia" w:eastAsia="宋体"/>
                <w:color w:val="auto"/>
                <w:kern w:val="0"/>
                <w:szCs w:val="21"/>
                <w:lang w:eastAsia="zh-CN"/>
              </w:rPr>
            </w:pPr>
            <w:r>
              <w:rPr>
                <w:rFonts w:hint="eastAsia"/>
                <w:color w:val="auto"/>
                <w:kern w:val="0"/>
                <w:szCs w:val="21"/>
                <w:lang w:val="en-US" w:eastAsia="zh-CN"/>
              </w:rPr>
              <w:t>3</w:t>
            </w:r>
          </w:p>
        </w:tc>
        <w:tc>
          <w:tcPr>
            <w:tcW w:w="1170" w:type="dxa"/>
            <w:vMerge w:val="restart"/>
            <w:tcBorders>
              <w:top w:val="single" w:color="000000" w:sz="4" w:space="0"/>
              <w:left w:val="nil"/>
              <w:right w:val="single" w:color="000000" w:sz="4" w:space="0"/>
            </w:tcBorders>
            <w:vAlign w:val="center"/>
          </w:tcPr>
          <w:p w14:paraId="5FF508AB">
            <w:pPr>
              <w:widowControl/>
              <w:spacing w:line="300" w:lineRule="auto"/>
              <w:jc w:val="center"/>
              <w:rPr>
                <w:rFonts w:hint="eastAsia"/>
                <w:color w:val="auto"/>
                <w:kern w:val="0"/>
                <w:szCs w:val="21"/>
              </w:rPr>
            </w:pPr>
            <w:r>
              <w:rPr>
                <w:rFonts w:hint="eastAsia"/>
                <w:color w:val="auto"/>
                <w:kern w:val="0"/>
                <w:szCs w:val="21"/>
              </w:rPr>
              <w:t>企业人员情况</w:t>
            </w:r>
          </w:p>
          <w:p w14:paraId="59C96A61">
            <w:pPr>
              <w:widowControl/>
              <w:spacing w:line="300" w:lineRule="auto"/>
              <w:jc w:val="center"/>
              <w:rPr>
                <w:rFonts w:hint="eastAsia"/>
                <w:color w:val="auto"/>
                <w:kern w:val="0"/>
                <w:szCs w:val="21"/>
              </w:rPr>
            </w:pPr>
            <w:r>
              <w:rPr>
                <w:rFonts w:hint="eastAsia"/>
                <w:color w:val="auto"/>
                <w:kern w:val="0"/>
                <w:szCs w:val="21"/>
              </w:rPr>
              <w:t>（</w:t>
            </w:r>
            <w:r>
              <w:rPr>
                <w:rFonts w:hint="eastAsia"/>
                <w:color w:val="auto"/>
                <w:kern w:val="0"/>
                <w:szCs w:val="21"/>
                <w:lang w:val="en-US" w:eastAsia="zh-CN"/>
              </w:rPr>
              <w:t>15</w:t>
            </w:r>
            <w:r>
              <w:rPr>
                <w:rFonts w:hint="eastAsia"/>
                <w:color w:val="auto"/>
                <w:kern w:val="0"/>
                <w:szCs w:val="21"/>
              </w:rPr>
              <w:t>分）</w:t>
            </w:r>
          </w:p>
          <w:p w14:paraId="76841913">
            <w:pPr>
              <w:widowControl/>
              <w:spacing w:line="300" w:lineRule="auto"/>
              <w:jc w:val="center"/>
              <w:rPr>
                <w:rFonts w:hint="eastAsia"/>
                <w:color w:val="auto"/>
                <w:kern w:val="0"/>
                <w:szCs w:val="21"/>
              </w:rPr>
            </w:pPr>
          </w:p>
        </w:tc>
        <w:tc>
          <w:tcPr>
            <w:tcW w:w="6441" w:type="dxa"/>
            <w:tcBorders>
              <w:top w:val="single" w:color="000000" w:sz="4" w:space="0"/>
              <w:left w:val="nil"/>
              <w:bottom w:val="single" w:color="000000" w:sz="4" w:space="0"/>
              <w:right w:val="single" w:color="000000" w:sz="4" w:space="0"/>
            </w:tcBorders>
            <w:vAlign w:val="center"/>
          </w:tcPr>
          <w:p w14:paraId="778A968C">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default" w:eastAsia="宋体"/>
                <w:color w:val="auto"/>
                <w:lang w:val="en-US" w:eastAsia="zh-CN"/>
              </w:rPr>
            </w:pPr>
            <w:r>
              <w:rPr>
                <w:rFonts w:hint="eastAsia"/>
                <w:color w:val="auto"/>
                <w:lang w:val="en-US" w:eastAsia="zh-CN"/>
              </w:rPr>
              <w:t>团队成员要求：</w:t>
            </w:r>
          </w:p>
          <w:p w14:paraId="0D0F4948">
            <w:pPr>
              <w:keepNext w:val="0"/>
              <w:keepLines w:val="0"/>
              <w:pageBreakBefore w:val="0"/>
              <w:widowControl/>
              <w:numPr>
                <w:ilvl w:val="0"/>
                <w:numId w:val="1"/>
              </w:numPr>
              <w:kinsoku/>
              <w:wordWrap/>
              <w:overflowPunct/>
              <w:topLinePunct w:val="0"/>
              <w:autoSpaceDE/>
              <w:autoSpaceDN/>
              <w:bidi w:val="0"/>
              <w:adjustRightInd/>
              <w:snapToGrid/>
              <w:spacing w:line="300" w:lineRule="auto"/>
              <w:ind w:firstLine="420" w:firstLineChars="200"/>
              <w:textAlignment w:val="auto"/>
              <w:rPr>
                <w:rFonts w:hint="eastAsia"/>
                <w:color w:val="auto"/>
                <w:lang w:eastAsia="zh-CN"/>
              </w:rPr>
            </w:pPr>
            <w:r>
              <w:rPr>
                <w:rFonts w:hint="eastAsia"/>
                <w:color w:val="auto"/>
              </w:rPr>
              <w:t>代理机构员工取得与政府采购业务相关的培训</w:t>
            </w:r>
            <w:r>
              <w:rPr>
                <w:rFonts w:hint="eastAsia"/>
                <w:color w:val="auto"/>
                <w:lang w:eastAsia="zh-CN"/>
              </w:rPr>
              <w:t>证5人</w:t>
            </w:r>
            <w:r>
              <w:rPr>
                <w:rFonts w:hint="eastAsia"/>
                <w:color w:val="auto"/>
                <w:lang w:val="en-US" w:eastAsia="zh-CN"/>
              </w:rPr>
              <w:t>得1分，6人得3分，7人</w:t>
            </w:r>
            <w:r>
              <w:rPr>
                <w:rFonts w:hint="eastAsia"/>
                <w:color w:val="auto"/>
                <w:lang w:eastAsia="zh-CN"/>
              </w:rPr>
              <w:t>或以上</w:t>
            </w:r>
            <w:r>
              <w:rPr>
                <w:rFonts w:hint="eastAsia"/>
                <w:color w:val="auto"/>
                <w:lang w:val="en-US" w:eastAsia="zh-CN"/>
              </w:rPr>
              <w:t>得5分</w:t>
            </w:r>
            <w:r>
              <w:rPr>
                <w:rFonts w:hint="eastAsia"/>
                <w:color w:val="auto"/>
                <w:lang w:eastAsia="zh-CN"/>
              </w:rPr>
              <w:t>。</w:t>
            </w:r>
          </w:p>
          <w:p w14:paraId="3146C45C">
            <w:pPr>
              <w:keepNext w:val="0"/>
              <w:keepLines w:val="0"/>
              <w:pageBreakBefore w:val="0"/>
              <w:widowControl/>
              <w:numPr>
                <w:ilvl w:val="0"/>
                <w:numId w:val="1"/>
              </w:numPr>
              <w:kinsoku/>
              <w:wordWrap/>
              <w:overflowPunct/>
              <w:topLinePunct w:val="0"/>
              <w:autoSpaceDE/>
              <w:autoSpaceDN/>
              <w:bidi w:val="0"/>
              <w:adjustRightInd/>
              <w:snapToGrid/>
              <w:spacing w:line="300" w:lineRule="auto"/>
              <w:ind w:firstLine="420" w:firstLineChars="200"/>
              <w:textAlignment w:val="auto"/>
              <w:rPr>
                <w:rFonts w:hint="eastAsia"/>
                <w:color w:val="auto"/>
                <w:lang w:eastAsia="zh-CN"/>
              </w:rPr>
            </w:pPr>
            <w:r>
              <w:rPr>
                <w:rFonts w:hint="eastAsia"/>
                <w:color w:val="auto"/>
                <w:lang w:val="en-US" w:eastAsia="zh-CN"/>
              </w:rPr>
              <w:t>每具有一名中级或以上级职称人员得2分，共4分</w:t>
            </w:r>
          </w:p>
          <w:p w14:paraId="3E0CB19C">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color w:val="auto"/>
                <w:kern w:val="0"/>
                <w:szCs w:val="21"/>
              </w:rPr>
            </w:pPr>
            <w:r>
              <w:rPr>
                <w:rFonts w:hint="eastAsia"/>
                <w:color w:val="auto"/>
                <w:kern w:val="0"/>
                <w:szCs w:val="21"/>
              </w:rPr>
              <w:t>（注：提供合格证书复印件、</w:t>
            </w:r>
            <w:r>
              <w:rPr>
                <w:rFonts w:hint="eastAsia"/>
                <w:color w:val="auto"/>
                <w:kern w:val="0"/>
                <w:szCs w:val="21"/>
                <w:lang w:eastAsia="zh-CN"/>
              </w:rPr>
              <w:t>2025年任意三个月社保</w:t>
            </w:r>
            <w:r>
              <w:rPr>
                <w:rFonts w:hint="eastAsia"/>
                <w:color w:val="auto"/>
                <w:kern w:val="0"/>
                <w:szCs w:val="21"/>
              </w:rPr>
              <w:t>等相关证明并加盖公章。）</w:t>
            </w:r>
          </w:p>
        </w:tc>
        <w:tc>
          <w:tcPr>
            <w:tcW w:w="714" w:type="dxa"/>
            <w:tcBorders>
              <w:top w:val="single" w:color="000000" w:sz="4" w:space="0"/>
              <w:left w:val="nil"/>
              <w:bottom w:val="single" w:color="000000" w:sz="4" w:space="0"/>
              <w:right w:val="single" w:color="000000" w:sz="4" w:space="0"/>
            </w:tcBorders>
            <w:vAlign w:val="center"/>
          </w:tcPr>
          <w:p w14:paraId="7D7A3D07">
            <w:pPr>
              <w:widowControl/>
              <w:spacing w:line="300" w:lineRule="auto"/>
              <w:jc w:val="center"/>
              <w:rPr>
                <w:rFonts w:hint="default" w:eastAsia="宋体" w:cs="宋体"/>
                <w:color w:val="auto"/>
                <w:szCs w:val="21"/>
                <w:lang w:val="en-US" w:eastAsia="zh-CN"/>
              </w:rPr>
            </w:pPr>
            <w:r>
              <w:rPr>
                <w:rFonts w:hint="eastAsia" w:cs="宋体"/>
                <w:color w:val="auto"/>
                <w:szCs w:val="21"/>
                <w:lang w:val="en-US" w:eastAsia="zh-CN"/>
              </w:rPr>
              <w:t>9</w:t>
            </w:r>
          </w:p>
        </w:tc>
      </w:tr>
      <w:tr w14:paraId="48111100">
        <w:tblPrEx>
          <w:tblCellMar>
            <w:top w:w="0" w:type="dxa"/>
            <w:left w:w="108" w:type="dxa"/>
            <w:bottom w:w="0" w:type="dxa"/>
            <w:right w:w="108" w:type="dxa"/>
          </w:tblCellMar>
        </w:tblPrEx>
        <w:trPr>
          <w:trHeight w:val="23" w:hRule="atLeast"/>
          <w:jc w:val="center"/>
        </w:trPr>
        <w:tc>
          <w:tcPr>
            <w:tcW w:w="654" w:type="dxa"/>
            <w:vMerge w:val="continue"/>
            <w:tcBorders>
              <w:left w:val="single" w:color="000000" w:sz="4" w:space="0"/>
              <w:right w:val="single" w:color="000000" w:sz="4" w:space="0"/>
            </w:tcBorders>
            <w:vAlign w:val="center"/>
          </w:tcPr>
          <w:p w14:paraId="0019080E">
            <w:pPr>
              <w:widowControl/>
              <w:spacing w:line="300" w:lineRule="auto"/>
              <w:jc w:val="center"/>
              <w:rPr>
                <w:rFonts w:hint="eastAsia"/>
                <w:color w:val="auto"/>
                <w:kern w:val="0"/>
                <w:szCs w:val="21"/>
              </w:rPr>
            </w:pPr>
          </w:p>
        </w:tc>
        <w:tc>
          <w:tcPr>
            <w:tcW w:w="1170" w:type="dxa"/>
            <w:vMerge w:val="continue"/>
            <w:tcBorders>
              <w:left w:val="nil"/>
              <w:right w:val="single" w:color="000000" w:sz="4" w:space="0"/>
            </w:tcBorders>
            <w:vAlign w:val="center"/>
          </w:tcPr>
          <w:p w14:paraId="70F87F15">
            <w:pPr>
              <w:widowControl/>
              <w:spacing w:line="300" w:lineRule="auto"/>
              <w:jc w:val="center"/>
              <w:rPr>
                <w:rFonts w:hint="eastAsia"/>
                <w:color w:val="auto"/>
                <w:kern w:val="0"/>
                <w:szCs w:val="21"/>
              </w:rPr>
            </w:pPr>
          </w:p>
        </w:tc>
        <w:tc>
          <w:tcPr>
            <w:tcW w:w="6441" w:type="dxa"/>
            <w:tcBorders>
              <w:top w:val="single" w:color="000000" w:sz="4" w:space="0"/>
              <w:left w:val="nil"/>
              <w:right w:val="single" w:color="000000" w:sz="4" w:space="0"/>
            </w:tcBorders>
            <w:vAlign w:val="center"/>
          </w:tcPr>
          <w:p w14:paraId="5AD88F6B">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color w:val="auto"/>
                <w:kern w:val="0"/>
                <w:szCs w:val="21"/>
              </w:rPr>
            </w:pPr>
            <w:r>
              <w:rPr>
                <w:rFonts w:hint="eastAsia"/>
                <w:color w:val="auto"/>
                <w:kern w:val="0"/>
                <w:szCs w:val="21"/>
              </w:rPr>
              <w:t>项目负责人要求：</w:t>
            </w:r>
          </w:p>
          <w:p w14:paraId="22AE5E47">
            <w:pPr>
              <w:keepNext w:val="0"/>
              <w:keepLines w:val="0"/>
              <w:pageBreakBefore w:val="0"/>
              <w:widowControl/>
              <w:numPr>
                <w:ilvl w:val="0"/>
                <w:numId w:val="2"/>
              </w:numPr>
              <w:kinsoku/>
              <w:wordWrap/>
              <w:overflowPunct/>
              <w:topLinePunct w:val="0"/>
              <w:autoSpaceDE/>
              <w:autoSpaceDN/>
              <w:bidi w:val="0"/>
              <w:adjustRightInd/>
              <w:snapToGrid/>
              <w:spacing w:line="300" w:lineRule="auto"/>
              <w:ind w:firstLine="420" w:firstLineChars="200"/>
              <w:textAlignment w:val="auto"/>
              <w:rPr>
                <w:rFonts w:hint="eastAsia"/>
                <w:color w:val="auto"/>
                <w:kern w:val="0"/>
                <w:szCs w:val="21"/>
              </w:rPr>
            </w:pPr>
            <w:r>
              <w:rPr>
                <w:rFonts w:hint="eastAsia"/>
                <w:color w:val="auto"/>
                <w:kern w:val="0"/>
                <w:szCs w:val="21"/>
              </w:rPr>
              <w:t>具有</w:t>
            </w:r>
            <w:r>
              <w:rPr>
                <w:rFonts w:hint="eastAsia"/>
                <w:color w:val="auto"/>
                <w:kern w:val="0"/>
                <w:szCs w:val="21"/>
                <w:lang w:val="en-US" w:eastAsia="zh-CN"/>
              </w:rPr>
              <w:t>中级</w:t>
            </w:r>
            <w:r>
              <w:rPr>
                <w:rFonts w:hint="eastAsia"/>
                <w:color w:val="auto"/>
                <w:kern w:val="0"/>
                <w:szCs w:val="21"/>
              </w:rPr>
              <w:t>职称得</w:t>
            </w:r>
            <w:r>
              <w:rPr>
                <w:rFonts w:hint="eastAsia"/>
                <w:color w:val="auto"/>
                <w:kern w:val="0"/>
                <w:szCs w:val="21"/>
                <w:lang w:val="en-US" w:eastAsia="zh-CN"/>
              </w:rPr>
              <w:t>1</w:t>
            </w:r>
            <w:r>
              <w:rPr>
                <w:rFonts w:hint="eastAsia"/>
                <w:color w:val="auto"/>
                <w:kern w:val="0"/>
                <w:szCs w:val="21"/>
              </w:rPr>
              <w:t>分</w:t>
            </w:r>
            <w:r>
              <w:rPr>
                <w:rFonts w:hint="eastAsia"/>
                <w:color w:val="auto"/>
                <w:kern w:val="0"/>
                <w:szCs w:val="21"/>
                <w:lang w:eastAsia="zh-CN"/>
              </w:rPr>
              <w:t>，</w:t>
            </w:r>
            <w:r>
              <w:rPr>
                <w:rFonts w:hint="eastAsia"/>
                <w:color w:val="auto"/>
                <w:kern w:val="0"/>
                <w:szCs w:val="21"/>
                <w:lang w:val="en-US" w:eastAsia="zh-CN"/>
              </w:rPr>
              <w:t>具有高级或以上级职称得3分</w:t>
            </w:r>
            <w:r>
              <w:rPr>
                <w:rFonts w:hint="eastAsia"/>
                <w:color w:val="auto"/>
                <w:kern w:val="0"/>
                <w:szCs w:val="21"/>
              </w:rPr>
              <w:t>；</w:t>
            </w:r>
          </w:p>
          <w:p w14:paraId="519E390C">
            <w:pPr>
              <w:keepNext w:val="0"/>
              <w:keepLines w:val="0"/>
              <w:pageBreakBefore w:val="0"/>
              <w:widowControl/>
              <w:numPr>
                <w:ilvl w:val="0"/>
                <w:numId w:val="2"/>
              </w:numPr>
              <w:kinsoku/>
              <w:wordWrap/>
              <w:overflowPunct/>
              <w:topLinePunct w:val="0"/>
              <w:autoSpaceDE/>
              <w:autoSpaceDN/>
              <w:bidi w:val="0"/>
              <w:adjustRightInd/>
              <w:snapToGrid/>
              <w:spacing w:line="300" w:lineRule="auto"/>
              <w:ind w:firstLine="420" w:firstLineChars="200"/>
              <w:textAlignment w:val="auto"/>
              <w:rPr>
                <w:rFonts w:hint="eastAsia"/>
                <w:color w:val="auto"/>
                <w:kern w:val="0"/>
                <w:szCs w:val="21"/>
              </w:rPr>
            </w:pPr>
            <w:r>
              <w:rPr>
                <w:rFonts w:hint="eastAsia"/>
                <w:color w:val="auto"/>
                <w:kern w:val="0"/>
                <w:szCs w:val="21"/>
                <w:lang w:val="en-US" w:eastAsia="zh-CN"/>
              </w:rPr>
              <w:t>具有二级或以上级建造工程师或造价工程师资格证得3分；</w:t>
            </w:r>
          </w:p>
          <w:p w14:paraId="308C1B7A">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hint="eastAsia"/>
                <w:color w:val="auto"/>
                <w:kern w:val="0"/>
                <w:szCs w:val="21"/>
              </w:rPr>
            </w:pPr>
            <w:r>
              <w:rPr>
                <w:rFonts w:hint="eastAsia"/>
                <w:color w:val="auto"/>
                <w:kern w:val="0"/>
                <w:szCs w:val="21"/>
              </w:rPr>
              <w:t>（注：提供</w:t>
            </w:r>
            <w:r>
              <w:rPr>
                <w:rFonts w:hint="eastAsia"/>
                <w:color w:val="auto"/>
                <w:kern w:val="0"/>
                <w:szCs w:val="21"/>
                <w:lang w:val="en-US" w:eastAsia="zh-CN"/>
              </w:rPr>
              <w:t>职称证复印件、注册证、</w:t>
            </w:r>
            <w:r>
              <w:rPr>
                <w:rFonts w:hint="eastAsia"/>
                <w:color w:val="auto"/>
                <w:kern w:val="0"/>
                <w:szCs w:val="21"/>
                <w:lang w:eastAsia="zh-CN"/>
              </w:rPr>
              <w:t>2025年任意三个月社保</w:t>
            </w:r>
            <w:r>
              <w:rPr>
                <w:rFonts w:hint="eastAsia"/>
                <w:color w:val="auto"/>
                <w:kern w:val="0"/>
                <w:szCs w:val="21"/>
              </w:rPr>
              <w:t>等相关证明并加盖公章。）</w:t>
            </w:r>
          </w:p>
        </w:tc>
        <w:tc>
          <w:tcPr>
            <w:tcW w:w="714" w:type="dxa"/>
            <w:tcBorders>
              <w:top w:val="single" w:color="000000" w:sz="4" w:space="0"/>
              <w:left w:val="nil"/>
              <w:bottom w:val="single" w:color="000000" w:sz="4" w:space="0"/>
              <w:right w:val="single" w:color="000000" w:sz="4" w:space="0"/>
            </w:tcBorders>
            <w:vAlign w:val="center"/>
          </w:tcPr>
          <w:p w14:paraId="20789961">
            <w:pPr>
              <w:widowControl/>
              <w:spacing w:line="300" w:lineRule="auto"/>
              <w:jc w:val="center"/>
              <w:rPr>
                <w:rFonts w:hint="default" w:eastAsia="宋体" w:cs="宋体"/>
                <w:color w:val="auto"/>
                <w:szCs w:val="21"/>
                <w:lang w:val="en-US" w:eastAsia="zh-CN"/>
              </w:rPr>
            </w:pPr>
            <w:r>
              <w:rPr>
                <w:rFonts w:hint="eastAsia" w:cs="宋体"/>
                <w:color w:val="auto"/>
                <w:szCs w:val="21"/>
                <w:lang w:val="en-US" w:eastAsia="zh-CN"/>
              </w:rPr>
              <w:t>6</w:t>
            </w:r>
          </w:p>
        </w:tc>
      </w:tr>
      <w:tr w14:paraId="7BCE5D0E">
        <w:tblPrEx>
          <w:tblCellMar>
            <w:top w:w="0" w:type="dxa"/>
            <w:left w:w="108" w:type="dxa"/>
            <w:bottom w:w="0" w:type="dxa"/>
            <w:right w:w="108" w:type="dxa"/>
          </w:tblCellMar>
        </w:tblPrEx>
        <w:trPr>
          <w:trHeight w:val="23" w:hRule="atLeast"/>
          <w:jc w:val="center"/>
        </w:trPr>
        <w:tc>
          <w:tcPr>
            <w:tcW w:w="8979" w:type="dxa"/>
            <w:gridSpan w:val="4"/>
            <w:tcBorders>
              <w:top w:val="single" w:color="000000" w:sz="4" w:space="0"/>
              <w:left w:val="single" w:color="000000" w:sz="4" w:space="0"/>
              <w:bottom w:val="single" w:color="000000" w:sz="4" w:space="0"/>
              <w:right w:val="single" w:color="000000" w:sz="4" w:space="0"/>
            </w:tcBorders>
            <w:vAlign w:val="center"/>
          </w:tcPr>
          <w:p w14:paraId="6928F483">
            <w:pPr>
              <w:widowControl/>
              <w:spacing w:line="300" w:lineRule="auto"/>
              <w:jc w:val="center"/>
              <w:rPr>
                <w:rFonts w:hint="default" w:eastAsia="宋体"/>
                <w:b/>
                <w:bCs/>
                <w:color w:val="auto"/>
                <w:kern w:val="0"/>
                <w:szCs w:val="21"/>
                <w:lang w:val="en-US" w:eastAsia="zh-CN"/>
              </w:rPr>
            </w:pPr>
            <w:r>
              <w:rPr>
                <w:rFonts w:hint="eastAsia"/>
                <w:b/>
                <w:bCs/>
                <w:color w:val="auto"/>
                <w:kern w:val="0"/>
                <w:szCs w:val="21"/>
              </w:rPr>
              <w:t>技术部分（</w:t>
            </w:r>
            <w:r>
              <w:rPr>
                <w:rFonts w:hint="eastAsia"/>
                <w:b/>
                <w:bCs/>
                <w:color w:val="auto"/>
                <w:kern w:val="0"/>
                <w:szCs w:val="21"/>
                <w:lang w:val="en-US" w:eastAsia="zh-CN"/>
              </w:rPr>
              <w:t>40</w:t>
            </w:r>
            <w:r>
              <w:rPr>
                <w:rFonts w:hint="eastAsia"/>
                <w:b/>
                <w:bCs/>
                <w:color w:val="auto"/>
                <w:kern w:val="0"/>
                <w:szCs w:val="21"/>
              </w:rPr>
              <w:t>分）</w:t>
            </w:r>
          </w:p>
        </w:tc>
      </w:tr>
      <w:tr w14:paraId="2113926F">
        <w:tblPrEx>
          <w:tblCellMar>
            <w:top w:w="0" w:type="dxa"/>
            <w:left w:w="108" w:type="dxa"/>
            <w:bottom w:w="0" w:type="dxa"/>
            <w:right w:w="108" w:type="dxa"/>
          </w:tblCellMar>
        </w:tblPrEx>
        <w:trPr>
          <w:trHeight w:val="23" w:hRule="atLeast"/>
          <w:jc w:val="center"/>
        </w:trPr>
        <w:tc>
          <w:tcPr>
            <w:tcW w:w="654" w:type="dxa"/>
            <w:vMerge w:val="restart"/>
            <w:tcBorders>
              <w:top w:val="single" w:color="000000" w:sz="4" w:space="0"/>
              <w:left w:val="single" w:color="000000" w:sz="4" w:space="0"/>
              <w:right w:val="single" w:color="000000" w:sz="4" w:space="0"/>
            </w:tcBorders>
            <w:vAlign w:val="center"/>
          </w:tcPr>
          <w:p w14:paraId="178014FF">
            <w:pPr>
              <w:widowControl/>
              <w:spacing w:line="300" w:lineRule="auto"/>
              <w:jc w:val="center"/>
              <w:rPr>
                <w:rFonts w:hint="eastAsia" w:eastAsia="宋体"/>
                <w:color w:val="auto"/>
                <w:kern w:val="0"/>
                <w:szCs w:val="21"/>
                <w:lang w:eastAsia="zh-CN"/>
              </w:rPr>
            </w:pPr>
            <w:r>
              <w:rPr>
                <w:rFonts w:hint="eastAsia"/>
                <w:color w:val="auto"/>
                <w:kern w:val="0"/>
                <w:szCs w:val="21"/>
                <w:lang w:val="en-US" w:eastAsia="zh-CN"/>
              </w:rPr>
              <w:t>4</w:t>
            </w:r>
          </w:p>
        </w:tc>
        <w:tc>
          <w:tcPr>
            <w:tcW w:w="1170" w:type="dxa"/>
            <w:vMerge w:val="restart"/>
            <w:tcBorders>
              <w:top w:val="single" w:color="000000" w:sz="4" w:space="0"/>
              <w:left w:val="nil"/>
              <w:right w:val="single" w:color="000000" w:sz="4" w:space="0"/>
            </w:tcBorders>
            <w:vAlign w:val="center"/>
          </w:tcPr>
          <w:p w14:paraId="45854E4E">
            <w:pPr>
              <w:pStyle w:val="5"/>
              <w:spacing w:line="300" w:lineRule="auto"/>
              <w:jc w:val="center"/>
              <w:rPr>
                <w:color w:val="auto"/>
              </w:rPr>
            </w:pPr>
          </w:p>
          <w:p w14:paraId="5173B56E">
            <w:pPr>
              <w:pStyle w:val="5"/>
              <w:spacing w:line="300" w:lineRule="auto"/>
              <w:jc w:val="center"/>
              <w:rPr>
                <w:color w:val="auto"/>
              </w:rPr>
            </w:pPr>
            <w:r>
              <w:rPr>
                <w:rFonts w:hint="eastAsia"/>
                <w:color w:val="auto"/>
              </w:rPr>
              <w:t>招标代理服务实施方案</w:t>
            </w:r>
          </w:p>
          <w:p w14:paraId="0CA7F6D1">
            <w:pPr>
              <w:pStyle w:val="5"/>
              <w:spacing w:line="300" w:lineRule="auto"/>
              <w:jc w:val="center"/>
              <w:rPr>
                <w:color w:val="auto"/>
              </w:rPr>
            </w:pPr>
            <w:r>
              <w:rPr>
                <w:rFonts w:hint="eastAsia"/>
                <w:color w:val="auto"/>
                <w:lang w:val="en-US" w:eastAsia="zh-CN"/>
              </w:rPr>
              <w:t>20</w:t>
            </w:r>
            <w:r>
              <w:rPr>
                <w:rFonts w:hint="eastAsia"/>
                <w:color w:val="auto"/>
              </w:rPr>
              <w:t>分）</w:t>
            </w:r>
          </w:p>
          <w:p w14:paraId="125EC4DB">
            <w:pPr>
              <w:pStyle w:val="5"/>
              <w:spacing w:line="300" w:lineRule="auto"/>
              <w:jc w:val="center"/>
              <w:rPr>
                <w:color w:val="auto"/>
              </w:rPr>
            </w:pPr>
          </w:p>
        </w:tc>
        <w:tc>
          <w:tcPr>
            <w:tcW w:w="6441" w:type="dxa"/>
            <w:tcBorders>
              <w:top w:val="single" w:color="000000" w:sz="4" w:space="0"/>
              <w:left w:val="nil"/>
              <w:bottom w:val="single" w:color="000000" w:sz="4" w:space="0"/>
              <w:right w:val="single" w:color="000000" w:sz="4" w:space="0"/>
            </w:tcBorders>
            <w:vAlign w:val="center"/>
          </w:tcPr>
          <w:p w14:paraId="3FA73740">
            <w:pPr>
              <w:pStyle w:val="5"/>
              <w:spacing w:line="300" w:lineRule="auto"/>
              <w:ind w:firstLine="420"/>
              <w:rPr>
                <w:color w:val="auto"/>
              </w:rPr>
            </w:pPr>
            <w:r>
              <w:rPr>
                <w:rFonts w:hint="eastAsia"/>
                <w:color w:val="auto"/>
              </w:rPr>
              <w:t>代理服务方案详细完善、措施得当（</w:t>
            </w:r>
            <w:r>
              <w:rPr>
                <w:rFonts w:hint="eastAsia"/>
                <w:color w:val="auto"/>
                <w:lang w:val="en-US" w:eastAsia="zh-CN"/>
              </w:rPr>
              <w:t>10</w:t>
            </w:r>
            <w:r>
              <w:rPr>
                <w:rFonts w:hint="eastAsia"/>
                <w:color w:val="auto"/>
              </w:rPr>
              <w:t>分）；</w:t>
            </w:r>
          </w:p>
          <w:p w14:paraId="090649D7">
            <w:pPr>
              <w:pStyle w:val="5"/>
              <w:spacing w:line="300" w:lineRule="auto"/>
              <w:ind w:firstLine="420"/>
              <w:rPr>
                <w:color w:val="auto"/>
              </w:rPr>
            </w:pPr>
            <w:r>
              <w:rPr>
                <w:rFonts w:hint="eastAsia"/>
                <w:color w:val="auto"/>
              </w:rPr>
              <w:t>要求方案完善，思路清晰，可操作性强，重点难点突出，响应采购人要求，针对采购人实际情况提出切实可行、合法合规的工作建议和意见。</w:t>
            </w:r>
          </w:p>
          <w:p w14:paraId="46CF5129">
            <w:pPr>
              <w:widowControl/>
              <w:spacing w:line="300" w:lineRule="auto"/>
              <w:ind w:firstLine="420" w:firstLineChars="200"/>
              <w:rPr>
                <w:color w:val="auto"/>
              </w:rPr>
            </w:pPr>
            <w:r>
              <w:rPr>
                <w:rFonts w:hint="eastAsia"/>
                <w:color w:val="auto"/>
              </w:rPr>
              <w:t>1、评审委员会对各提交的针对本校项目的招标代理服务实施方案进行审查，方案完善、措施针对性和可操作性强得</w:t>
            </w:r>
            <w:r>
              <w:rPr>
                <w:rFonts w:hint="eastAsia"/>
                <w:color w:val="auto"/>
                <w:lang w:val="en-US" w:eastAsia="zh-CN"/>
              </w:rPr>
              <w:t>7-10</w:t>
            </w:r>
            <w:r>
              <w:rPr>
                <w:rFonts w:hint="eastAsia"/>
                <w:color w:val="auto"/>
              </w:rPr>
              <w:t>分；</w:t>
            </w:r>
          </w:p>
          <w:p w14:paraId="62A181C8">
            <w:pPr>
              <w:pStyle w:val="5"/>
              <w:spacing w:line="300" w:lineRule="auto"/>
              <w:ind w:firstLine="420"/>
              <w:rPr>
                <w:rFonts w:hint="eastAsia"/>
                <w:color w:val="auto"/>
              </w:rPr>
            </w:pPr>
            <w:r>
              <w:rPr>
                <w:rFonts w:hint="eastAsia"/>
                <w:color w:val="auto"/>
              </w:rPr>
              <w:t>2、方案较完善、措施针对性和可操作性较强，得4-6分；</w:t>
            </w:r>
          </w:p>
          <w:p w14:paraId="2C33CF9D">
            <w:pPr>
              <w:pStyle w:val="5"/>
              <w:spacing w:line="300" w:lineRule="auto"/>
              <w:ind w:firstLine="420"/>
              <w:rPr>
                <w:color w:val="auto"/>
              </w:rPr>
            </w:pPr>
            <w:r>
              <w:rPr>
                <w:rFonts w:hint="eastAsia"/>
                <w:color w:val="auto"/>
              </w:rPr>
              <w:t>3、方案一般、措施针对性和可操作性性一般得1-3分；</w:t>
            </w:r>
          </w:p>
          <w:p w14:paraId="0CE6092C">
            <w:pPr>
              <w:pStyle w:val="5"/>
              <w:spacing w:line="300" w:lineRule="auto"/>
              <w:ind w:firstLine="420"/>
              <w:rPr>
                <w:color w:val="auto"/>
              </w:rPr>
            </w:pPr>
            <w:r>
              <w:rPr>
                <w:rFonts w:hint="eastAsia"/>
                <w:color w:val="auto"/>
              </w:rPr>
              <w:t>4、方案不合理未能达到</w:t>
            </w:r>
            <w:r>
              <w:rPr>
                <w:rFonts w:hint="eastAsia"/>
                <w:color w:val="auto"/>
                <w:lang w:eastAsia="zh-CN"/>
              </w:rPr>
              <w:t>遴选文件</w:t>
            </w:r>
            <w:r>
              <w:rPr>
                <w:rFonts w:hint="eastAsia"/>
                <w:color w:val="auto"/>
              </w:rPr>
              <w:t>要求的得0分。</w:t>
            </w:r>
          </w:p>
        </w:tc>
        <w:tc>
          <w:tcPr>
            <w:tcW w:w="714" w:type="dxa"/>
            <w:tcBorders>
              <w:top w:val="single" w:color="000000" w:sz="4" w:space="0"/>
              <w:left w:val="nil"/>
              <w:bottom w:val="single" w:color="000000" w:sz="4" w:space="0"/>
              <w:right w:val="single" w:color="000000" w:sz="4" w:space="0"/>
            </w:tcBorders>
            <w:vAlign w:val="center"/>
          </w:tcPr>
          <w:p w14:paraId="712EBCDD">
            <w:pPr>
              <w:pStyle w:val="5"/>
              <w:spacing w:line="300" w:lineRule="auto"/>
              <w:ind w:firstLine="210" w:firstLineChars="100"/>
              <w:jc w:val="center"/>
              <w:rPr>
                <w:rFonts w:hint="default" w:eastAsia="宋体"/>
                <w:color w:val="auto"/>
                <w:lang w:val="en-US" w:eastAsia="zh-CN"/>
              </w:rPr>
            </w:pPr>
            <w:r>
              <w:rPr>
                <w:rFonts w:hint="eastAsia"/>
                <w:color w:val="auto"/>
                <w:lang w:val="en-US" w:eastAsia="zh-CN"/>
              </w:rPr>
              <w:t>10</w:t>
            </w:r>
          </w:p>
        </w:tc>
      </w:tr>
      <w:tr w14:paraId="11253870">
        <w:tblPrEx>
          <w:tblCellMar>
            <w:top w:w="0" w:type="dxa"/>
            <w:left w:w="108" w:type="dxa"/>
            <w:bottom w:w="0" w:type="dxa"/>
            <w:right w:w="108" w:type="dxa"/>
          </w:tblCellMar>
        </w:tblPrEx>
        <w:trPr>
          <w:trHeight w:val="23" w:hRule="atLeast"/>
          <w:jc w:val="center"/>
        </w:trPr>
        <w:tc>
          <w:tcPr>
            <w:tcW w:w="654" w:type="dxa"/>
            <w:vMerge w:val="continue"/>
            <w:tcBorders>
              <w:left w:val="single" w:color="000000" w:sz="4" w:space="0"/>
              <w:bottom w:val="single" w:color="000000" w:sz="4" w:space="0"/>
              <w:right w:val="single" w:color="000000" w:sz="4" w:space="0"/>
            </w:tcBorders>
            <w:vAlign w:val="center"/>
          </w:tcPr>
          <w:p w14:paraId="79DA2943">
            <w:pPr>
              <w:widowControl/>
              <w:spacing w:line="300" w:lineRule="auto"/>
              <w:jc w:val="center"/>
              <w:rPr>
                <w:rFonts w:hint="eastAsia"/>
                <w:color w:val="auto"/>
                <w:kern w:val="0"/>
                <w:szCs w:val="21"/>
              </w:rPr>
            </w:pPr>
          </w:p>
        </w:tc>
        <w:tc>
          <w:tcPr>
            <w:tcW w:w="1170" w:type="dxa"/>
            <w:vMerge w:val="continue"/>
            <w:tcBorders>
              <w:left w:val="nil"/>
              <w:bottom w:val="single" w:color="000000" w:sz="4" w:space="0"/>
              <w:right w:val="single" w:color="000000" w:sz="4" w:space="0"/>
            </w:tcBorders>
            <w:vAlign w:val="center"/>
          </w:tcPr>
          <w:p w14:paraId="4668EF58">
            <w:pPr>
              <w:pStyle w:val="5"/>
              <w:spacing w:line="300" w:lineRule="auto"/>
              <w:jc w:val="center"/>
              <w:rPr>
                <w:rFonts w:hint="eastAsia"/>
                <w:color w:val="auto"/>
              </w:rPr>
            </w:pPr>
          </w:p>
        </w:tc>
        <w:tc>
          <w:tcPr>
            <w:tcW w:w="6441" w:type="dxa"/>
            <w:tcBorders>
              <w:top w:val="single" w:color="000000" w:sz="4" w:space="0"/>
              <w:left w:val="nil"/>
              <w:bottom w:val="single" w:color="000000" w:sz="4" w:space="0"/>
              <w:right w:val="single" w:color="000000" w:sz="4" w:space="0"/>
            </w:tcBorders>
            <w:vAlign w:val="center"/>
          </w:tcPr>
          <w:p w14:paraId="5F6955C9">
            <w:pPr>
              <w:pStyle w:val="5"/>
              <w:spacing w:line="300" w:lineRule="auto"/>
              <w:ind w:firstLine="420"/>
              <w:rPr>
                <w:color w:val="auto"/>
              </w:rPr>
            </w:pPr>
            <w:r>
              <w:rPr>
                <w:rFonts w:hint="eastAsia"/>
                <w:color w:val="auto"/>
              </w:rPr>
              <w:t>工作规范、各项措施得力（</w:t>
            </w:r>
            <w:r>
              <w:rPr>
                <w:rFonts w:hint="eastAsia"/>
                <w:color w:val="auto"/>
                <w:lang w:val="en-US" w:eastAsia="zh-CN"/>
              </w:rPr>
              <w:t>10</w:t>
            </w:r>
            <w:r>
              <w:rPr>
                <w:rFonts w:hint="eastAsia"/>
                <w:color w:val="auto"/>
              </w:rPr>
              <w:t>分）；</w:t>
            </w:r>
          </w:p>
          <w:p w14:paraId="0B792233">
            <w:pPr>
              <w:pStyle w:val="5"/>
              <w:spacing w:line="300" w:lineRule="auto"/>
              <w:ind w:firstLine="420"/>
              <w:rPr>
                <w:color w:val="auto"/>
              </w:rPr>
            </w:pPr>
            <w:r>
              <w:rPr>
                <w:rFonts w:hint="eastAsia"/>
                <w:color w:val="auto"/>
              </w:rPr>
              <w:t>能够承诺有足够的人力、物力等资源保证，按时保质保量完成委托的</w:t>
            </w:r>
            <w:r>
              <w:rPr>
                <w:rFonts w:hint="eastAsia"/>
                <w:color w:val="auto"/>
                <w:lang w:eastAsia="zh-CN"/>
              </w:rPr>
              <w:t>招标代理</w:t>
            </w:r>
            <w:r>
              <w:rPr>
                <w:rFonts w:hint="eastAsia"/>
                <w:color w:val="auto"/>
              </w:rPr>
              <w:t>业务，提供优质服务，并对</w:t>
            </w:r>
            <w:r>
              <w:rPr>
                <w:rFonts w:hint="eastAsia"/>
                <w:color w:val="auto"/>
                <w:lang w:eastAsia="zh-CN"/>
              </w:rPr>
              <w:t>招标代理</w:t>
            </w:r>
            <w:r>
              <w:rPr>
                <w:rFonts w:hint="eastAsia"/>
                <w:color w:val="auto"/>
              </w:rPr>
              <w:t>服务的真实性、准确性负责。</w:t>
            </w:r>
          </w:p>
          <w:p w14:paraId="4D59E0ED">
            <w:pPr>
              <w:pStyle w:val="5"/>
              <w:spacing w:line="300" w:lineRule="auto"/>
              <w:ind w:firstLine="420"/>
              <w:rPr>
                <w:color w:val="auto"/>
              </w:rPr>
            </w:pPr>
            <w:r>
              <w:rPr>
                <w:rFonts w:hint="eastAsia"/>
                <w:color w:val="auto"/>
              </w:rPr>
              <w:t>1、评审委员会对各提交的针对本校项目的保证措施进行审查，工作规范，措施针对性和可操作性强的得7-</w:t>
            </w:r>
            <w:r>
              <w:rPr>
                <w:rFonts w:hint="eastAsia"/>
                <w:color w:val="auto"/>
                <w:lang w:val="en-US" w:eastAsia="zh-CN"/>
              </w:rPr>
              <w:t>10</w:t>
            </w:r>
            <w:r>
              <w:rPr>
                <w:rFonts w:hint="eastAsia"/>
                <w:color w:val="auto"/>
              </w:rPr>
              <w:t>分；</w:t>
            </w:r>
          </w:p>
          <w:p w14:paraId="5173C2A3">
            <w:pPr>
              <w:pStyle w:val="5"/>
              <w:spacing w:line="300" w:lineRule="auto"/>
              <w:ind w:firstLine="420"/>
              <w:rPr>
                <w:rFonts w:hint="eastAsia"/>
                <w:color w:val="auto"/>
              </w:rPr>
            </w:pPr>
            <w:r>
              <w:rPr>
                <w:rFonts w:hint="eastAsia"/>
                <w:color w:val="auto"/>
              </w:rPr>
              <w:t>2、措施针对性和可操作性较强的得4-6分；</w:t>
            </w:r>
          </w:p>
          <w:p w14:paraId="341B131F">
            <w:pPr>
              <w:pStyle w:val="5"/>
              <w:spacing w:line="300" w:lineRule="auto"/>
              <w:ind w:firstLine="420"/>
              <w:rPr>
                <w:color w:val="auto"/>
              </w:rPr>
            </w:pPr>
            <w:r>
              <w:rPr>
                <w:rFonts w:hint="eastAsia"/>
                <w:color w:val="auto"/>
              </w:rPr>
              <w:t>3、措施针对性和可操作性一般的得1-3分</w:t>
            </w:r>
          </w:p>
          <w:p w14:paraId="474D0796">
            <w:pPr>
              <w:pStyle w:val="5"/>
              <w:spacing w:line="300" w:lineRule="auto"/>
              <w:ind w:firstLine="420"/>
              <w:rPr>
                <w:color w:val="auto"/>
              </w:rPr>
            </w:pPr>
            <w:r>
              <w:rPr>
                <w:rFonts w:hint="eastAsia"/>
                <w:color w:val="auto"/>
              </w:rPr>
              <w:t>4、措施针对性和可操作性不合理未能达到</w:t>
            </w:r>
            <w:r>
              <w:rPr>
                <w:rFonts w:hint="eastAsia"/>
                <w:color w:val="auto"/>
                <w:lang w:eastAsia="zh-CN"/>
              </w:rPr>
              <w:t>遴选文件</w:t>
            </w:r>
            <w:r>
              <w:rPr>
                <w:rFonts w:hint="eastAsia"/>
                <w:color w:val="auto"/>
              </w:rPr>
              <w:t>要求的得0分。</w:t>
            </w:r>
          </w:p>
        </w:tc>
        <w:tc>
          <w:tcPr>
            <w:tcW w:w="714" w:type="dxa"/>
            <w:tcBorders>
              <w:top w:val="single" w:color="000000" w:sz="4" w:space="0"/>
              <w:left w:val="nil"/>
              <w:bottom w:val="single" w:color="000000" w:sz="4" w:space="0"/>
              <w:right w:val="single" w:color="000000" w:sz="4" w:space="0"/>
            </w:tcBorders>
            <w:vAlign w:val="center"/>
          </w:tcPr>
          <w:p w14:paraId="0DD62971">
            <w:pPr>
              <w:pStyle w:val="5"/>
              <w:spacing w:line="300" w:lineRule="auto"/>
              <w:ind w:firstLine="210" w:firstLineChars="100"/>
              <w:jc w:val="center"/>
              <w:rPr>
                <w:rFonts w:hint="default" w:eastAsia="宋体"/>
                <w:color w:val="auto"/>
                <w:lang w:val="en-US" w:eastAsia="zh-CN"/>
              </w:rPr>
            </w:pPr>
            <w:r>
              <w:rPr>
                <w:rFonts w:hint="eastAsia"/>
                <w:color w:val="auto"/>
                <w:lang w:val="en-US" w:eastAsia="zh-CN"/>
              </w:rPr>
              <w:t>10</w:t>
            </w:r>
          </w:p>
        </w:tc>
      </w:tr>
      <w:tr w14:paraId="0F88E195">
        <w:tblPrEx>
          <w:tblCellMar>
            <w:top w:w="0" w:type="dxa"/>
            <w:left w:w="108" w:type="dxa"/>
            <w:bottom w:w="0" w:type="dxa"/>
            <w:right w:w="108" w:type="dxa"/>
          </w:tblCellMar>
        </w:tblPrEx>
        <w:trPr>
          <w:trHeight w:val="23" w:hRule="atLeast"/>
          <w:jc w:val="center"/>
        </w:trPr>
        <w:tc>
          <w:tcPr>
            <w:tcW w:w="654" w:type="dxa"/>
            <w:tcBorders>
              <w:top w:val="single" w:color="000000" w:sz="4" w:space="0"/>
              <w:left w:val="single" w:color="000000" w:sz="4" w:space="0"/>
              <w:bottom w:val="single" w:color="000000" w:sz="4" w:space="0"/>
              <w:right w:val="single" w:color="000000" w:sz="4" w:space="0"/>
            </w:tcBorders>
            <w:vAlign w:val="center"/>
          </w:tcPr>
          <w:p w14:paraId="302AA0E8">
            <w:pPr>
              <w:widowControl/>
              <w:spacing w:line="300" w:lineRule="auto"/>
              <w:jc w:val="center"/>
              <w:rPr>
                <w:rFonts w:hint="eastAsia" w:eastAsia="宋体"/>
                <w:color w:val="auto"/>
                <w:kern w:val="0"/>
                <w:szCs w:val="21"/>
                <w:lang w:eastAsia="zh-CN"/>
              </w:rPr>
            </w:pPr>
            <w:r>
              <w:rPr>
                <w:rFonts w:hint="eastAsia"/>
                <w:color w:val="auto"/>
                <w:kern w:val="0"/>
                <w:szCs w:val="21"/>
                <w:lang w:val="en-US" w:eastAsia="zh-CN"/>
              </w:rPr>
              <w:t>5</w:t>
            </w:r>
          </w:p>
        </w:tc>
        <w:tc>
          <w:tcPr>
            <w:tcW w:w="1170" w:type="dxa"/>
            <w:tcBorders>
              <w:top w:val="single" w:color="000000" w:sz="4" w:space="0"/>
              <w:left w:val="nil"/>
              <w:bottom w:val="single" w:color="000000" w:sz="4" w:space="0"/>
              <w:right w:val="single" w:color="000000" w:sz="4" w:space="0"/>
            </w:tcBorders>
            <w:vAlign w:val="center"/>
          </w:tcPr>
          <w:p w14:paraId="3A29BAF8">
            <w:pPr>
              <w:pStyle w:val="5"/>
              <w:spacing w:line="300" w:lineRule="auto"/>
              <w:jc w:val="center"/>
              <w:rPr>
                <w:rFonts w:hint="eastAsia"/>
                <w:color w:val="auto"/>
              </w:rPr>
            </w:pPr>
            <w:r>
              <w:rPr>
                <w:rFonts w:hint="eastAsia"/>
                <w:color w:val="auto"/>
              </w:rPr>
              <w:t>处理突发事件、质疑及投诉的策略方案以及协助处理投诉的策略方案（</w:t>
            </w:r>
            <w:r>
              <w:rPr>
                <w:rFonts w:hint="eastAsia"/>
                <w:color w:val="auto"/>
                <w:lang w:val="en-US" w:eastAsia="zh-CN"/>
              </w:rPr>
              <w:t>5</w:t>
            </w:r>
            <w:r>
              <w:rPr>
                <w:rFonts w:hint="eastAsia"/>
                <w:color w:val="auto"/>
              </w:rPr>
              <w:t>分）</w:t>
            </w:r>
          </w:p>
        </w:tc>
        <w:tc>
          <w:tcPr>
            <w:tcW w:w="6441" w:type="dxa"/>
            <w:tcBorders>
              <w:top w:val="single" w:color="000000" w:sz="4" w:space="0"/>
              <w:left w:val="nil"/>
              <w:bottom w:val="single" w:color="000000" w:sz="4" w:space="0"/>
              <w:right w:val="single" w:color="000000" w:sz="4" w:space="0"/>
            </w:tcBorders>
            <w:vAlign w:val="center"/>
          </w:tcPr>
          <w:p w14:paraId="0F79F5E0">
            <w:pPr>
              <w:pStyle w:val="5"/>
              <w:spacing w:line="300" w:lineRule="auto"/>
              <w:ind w:firstLine="420"/>
              <w:rPr>
                <w:color w:val="auto"/>
              </w:rPr>
            </w:pPr>
            <w:r>
              <w:rPr>
                <w:rFonts w:hint="eastAsia"/>
                <w:color w:val="auto"/>
              </w:rPr>
              <w:t>方案中至少应包含：开标时处理突发事件策略方案、开标后处理投诉的策略方案。根据策略方案的合理、科学、可行性进行评价打分。</w:t>
            </w:r>
          </w:p>
          <w:p w14:paraId="02640091">
            <w:pPr>
              <w:pStyle w:val="5"/>
              <w:spacing w:line="300" w:lineRule="auto"/>
              <w:ind w:firstLine="420"/>
              <w:rPr>
                <w:rFonts w:hint="eastAsia"/>
                <w:color w:val="auto"/>
              </w:rPr>
            </w:pPr>
            <w:r>
              <w:rPr>
                <w:rFonts w:hint="eastAsia"/>
                <w:color w:val="auto"/>
              </w:rPr>
              <w:t>提供详尽的质疑投诉的处理方法和流程：</w:t>
            </w:r>
            <w:r>
              <w:rPr>
                <w:rFonts w:hint="eastAsia"/>
                <w:color w:val="auto"/>
                <w:lang w:val="en-US" w:eastAsia="zh-CN"/>
              </w:rPr>
              <w:t>5</w:t>
            </w:r>
            <w:r>
              <w:rPr>
                <w:rFonts w:hint="eastAsia"/>
                <w:color w:val="auto"/>
              </w:rPr>
              <w:t>分；</w:t>
            </w:r>
          </w:p>
          <w:p w14:paraId="7DCEC70E">
            <w:pPr>
              <w:pStyle w:val="5"/>
              <w:spacing w:line="300" w:lineRule="auto"/>
              <w:ind w:firstLine="420"/>
              <w:rPr>
                <w:rFonts w:hint="eastAsia"/>
                <w:color w:val="auto"/>
              </w:rPr>
            </w:pPr>
            <w:r>
              <w:rPr>
                <w:rFonts w:hint="eastAsia"/>
                <w:color w:val="auto"/>
              </w:rPr>
              <w:t>提供不甚详尽质疑投诉的处理方法和流程：</w:t>
            </w:r>
            <w:r>
              <w:rPr>
                <w:rFonts w:hint="eastAsia"/>
                <w:color w:val="auto"/>
                <w:lang w:val="en-US" w:eastAsia="zh-CN"/>
              </w:rPr>
              <w:t>3</w:t>
            </w:r>
            <w:r>
              <w:rPr>
                <w:rFonts w:hint="eastAsia"/>
                <w:color w:val="auto"/>
              </w:rPr>
              <w:t>；</w:t>
            </w:r>
            <w:bookmarkStart w:id="0" w:name="_Toc30933"/>
            <w:bookmarkStart w:id="1" w:name="_Toc24678"/>
          </w:p>
          <w:p w14:paraId="174EFA92">
            <w:pPr>
              <w:pStyle w:val="5"/>
              <w:spacing w:line="300" w:lineRule="auto"/>
              <w:ind w:firstLine="420"/>
              <w:rPr>
                <w:rFonts w:hint="eastAsia"/>
                <w:color w:val="auto"/>
              </w:rPr>
            </w:pPr>
            <w:r>
              <w:rPr>
                <w:rFonts w:hint="eastAsia"/>
                <w:color w:val="auto"/>
              </w:rPr>
              <w:t>提供简单的质疑投诉的处理方法和流程：</w:t>
            </w:r>
            <w:r>
              <w:rPr>
                <w:rFonts w:hint="eastAsia"/>
                <w:color w:val="auto"/>
                <w:lang w:val="en-US" w:eastAsia="zh-CN"/>
              </w:rPr>
              <w:t>1</w:t>
            </w:r>
            <w:r>
              <w:rPr>
                <w:rFonts w:hint="eastAsia"/>
                <w:color w:val="auto"/>
              </w:rPr>
              <w:t>分；</w:t>
            </w:r>
            <w:bookmarkEnd w:id="0"/>
            <w:bookmarkEnd w:id="1"/>
          </w:p>
          <w:p w14:paraId="2709EEA0">
            <w:pPr>
              <w:pStyle w:val="5"/>
              <w:spacing w:line="300" w:lineRule="auto"/>
              <w:ind w:firstLine="420"/>
              <w:rPr>
                <w:color w:val="auto"/>
              </w:rPr>
            </w:pPr>
            <w:r>
              <w:rPr>
                <w:rFonts w:hint="eastAsia"/>
                <w:color w:val="auto"/>
              </w:rPr>
              <w:t>未提供质疑投诉的处理方法和流程：0分。</w:t>
            </w:r>
          </w:p>
        </w:tc>
        <w:tc>
          <w:tcPr>
            <w:tcW w:w="714" w:type="dxa"/>
            <w:tcBorders>
              <w:top w:val="single" w:color="000000" w:sz="4" w:space="0"/>
              <w:left w:val="nil"/>
              <w:bottom w:val="single" w:color="000000" w:sz="4" w:space="0"/>
              <w:right w:val="single" w:color="000000" w:sz="4" w:space="0"/>
            </w:tcBorders>
            <w:vAlign w:val="center"/>
          </w:tcPr>
          <w:p w14:paraId="2361B07F">
            <w:pPr>
              <w:pStyle w:val="5"/>
              <w:spacing w:line="300" w:lineRule="auto"/>
              <w:ind w:firstLine="210" w:firstLineChars="100"/>
              <w:jc w:val="center"/>
              <w:rPr>
                <w:rFonts w:hint="default" w:eastAsia="宋体"/>
                <w:color w:val="auto"/>
                <w:lang w:val="en-US" w:eastAsia="zh-CN"/>
              </w:rPr>
            </w:pPr>
            <w:r>
              <w:rPr>
                <w:rFonts w:hint="eastAsia"/>
                <w:color w:val="auto"/>
                <w:lang w:val="en-US" w:eastAsia="zh-CN"/>
              </w:rPr>
              <w:t>5</w:t>
            </w:r>
          </w:p>
        </w:tc>
      </w:tr>
      <w:tr w14:paraId="08C0FA0C">
        <w:tblPrEx>
          <w:tblCellMar>
            <w:top w:w="0" w:type="dxa"/>
            <w:left w:w="108" w:type="dxa"/>
            <w:bottom w:w="0" w:type="dxa"/>
            <w:right w:w="108" w:type="dxa"/>
          </w:tblCellMar>
        </w:tblPrEx>
        <w:trPr>
          <w:trHeight w:val="23" w:hRule="atLeast"/>
          <w:jc w:val="center"/>
        </w:trPr>
        <w:tc>
          <w:tcPr>
            <w:tcW w:w="654" w:type="dxa"/>
            <w:vMerge w:val="restart"/>
            <w:tcBorders>
              <w:top w:val="single" w:color="000000" w:sz="4" w:space="0"/>
              <w:left w:val="single" w:color="000000" w:sz="4" w:space="0"/>
              <w:right w:val="single" w:color="000000" w:sz="4" w:space="0"/>
            </w:tcBorders>
            <w:vAlign w:val="center"/>
          </w:tcPr>
          <w:p w14:paraId="2AB72724">
            <w:pPr>
              <w:widowControl/>
              <w:spacing w:line="300" w:lineRule="auto"/>
              <w:jc w:val="center"/>
              <w:rPr>
                <w:rFonts w:hint="eastAsia" w:eastAsia="宋体"/>
                <w:color w:val="auto"/>
                <w:kern w:val="0"/>
                <w:szCs w:val="21"/>
                <w:lang w:eastAsia="zh-CN"/>
              </w:rPr>
            </w:pPr>
            <w:r>
              <w:rPr>
                <w:rFonts w:hint="eastAsia"/>
                <w:color w:val="auto"/>
                <w:kern w:val="0"/>
                <w:szCs w:val="21"/>
                <w:lang w:val="en-US" w:eastAsia="zh-CN"/>
              </w:rPr>
              <w:t>6</w:t>
            </w:r>
          </w:p>
        </w:tc>
        <w:tc>
          <w:tcPr>
            <w:tcW w:w="1170" w:type="dxa"/>
            <w:vMerge w:val="restart"/>
            <w:tcBorders>
              <w:top w:val="single" w:color="000000" w:sz="4" w:space="0"/>
              <w:left w:val="nil"/>
              <w:right w:val="single" w:color="000000" w:sz="4" w:space="0"/>
            </w:tcBorders>
            <w:vAlign w:val="center"/>
          </w:tcPr>
          <w:p w14:paraId="574AE145">
            <w:pPr>
              <w:pStyle w:val="5"/>
              <w:spacing w:line="300" w:lineRule="auto"/>
              <w:jc w:val="center"/>
              <w:rPr>
                <w:rFonts w:hint="eastAsia"/>
                <w:color w:val="auto"/>
              </w:rPr>
            </w:pPr>
            <w:r>
              <w:rPr>
                <w:rFonts w:hint="eastAsia"/>
                <w:color w:val="auto"/>
              </w:rPr>
              <w:t>质量承诺及保证措施（</w:t>
            </w:r>
            <w:r>
              <w:rPr>
                <w:rFonts w:hint="eastAsia"/>
                <w:color w:val="auto"/>
                <w:lang w:val="en-US" w:eastAsia="zh-CN"/>
              </w:rPr>
              <w:t>10</w:t>
            </w:r>
            <w:r>
              <w:rPr>
                <w:rFonts w:hint="eastAsia"/>
                <w:color w:val="auto"/>
              </w:rPr>
              <w:t>分）</w:t>
            </w:r>
          </w:p>
          <w:p w14:paraId="483B65DF">
            <w:pPr>
              <w:pStyle w:val="5"/>
              <w:spacing w:line="300" w:lineRule="auto"/>
              <w:jc w:val="center"/>
              <w:rPr>
                <w:rFonts w:hint="eastAsia"/>
                <w:color w:val="auto"/>
              </w:rPr>
            </w:pPr>
          </w:p>
        </w:tc>
        <w:tc>
          <w:tcPr>
            <w:tcW w:w="6441" w:type="dxa"/>
            <w:tcBorders>
              <w:top w:val="single" w:color="000000" w:sz="4" w:space="0"/>
              <w:left w:val="nil"/>
              <w:bottom w:val="single" w:color="000000" w:sz="4" w:space="0"/>
              <w:right w:val="single" w:color="000000" w:sz="4" w:space="0"/>
            </w:tcBorders>
            <w:vAlign w:val="center"/>
          </w:tcPr>
          <w:p w14:paraId="5254CCF5">
            <w:pPr>
              <w:pStyle w:val="5"/>
              <w:spacing w:line="300" w:lineRule="auto"/>
              <w:ind w:firstLine="420"/>
              <w:rPr>
                <w:color w:val="auto"/>
              </w:rPr>
            </w:pPr>
            <w:r>
              <w:rPr>
                <w:rFonts w:hint="eastAsia"/>
                <w:color w:val="auto"/>
              </w:rPr>
              <w:t>质量保证体系完善、制度健全、措施有力、责任人明确；管理质量控制措施，承诺违约责任的承担及相关措施。</w:t>
            </w:r>
          </w:p>
          <w:p w14:paraId="4849B6F6">
            <w:pPr>
              <w:pStyle w:val="5"/>
              <w:spacing w:line="300" w:lineRule="auto"/>
              <w:ind w:firstLine="420"/>
              <w:rPr>
                <w:color w:val="auto"/>
              </w:rPr>
            </w:pPr>
            <w:r>
              <w:rPr>
                <w:rFonts w:hint="eastAsia"/>
                <w:color w:val="auto"/>
              </w:rPr>
              <w:t>评审委员会对各提交的针对本校项目的质量保证措施进行审查，质量承诺和措施清晰、完整、针对性和可操作性强的得</w:t>
            </w:r>
            <w:r>
              <w:rPr>
                <w:rFonts w:hint="eastAsia"/>
                <w:color w:val="auto"/>
                <w:lang w:val="en-US" w:eastAsia="zh-CN"/>
              </w:rPr>
              <w:t>5</w:t>
            </w:r>
            <w:r>
              <w:rPr>
                <w:rFonts w:hint="eastAsia"/>
                <w:color w:val="auto"/>
              </w:rPr>
              <w:t>分；</w:t>
            </w:r>
          </w:p>
          <w:p w14:paraId="44CFF155">
            <w:pPr>
              <w:pStyle w:val="5"/>
              <w:spacing w:line="300" w:lineRule="auto"/>
              <w:ind w:firstLine="420"/>
              <w:rPr>
                <w:rFonts w:hint="eastAsia"/>
                <w:color w:val="auto"/>
              </w:rPr>
            </w:pPr>
            <w:r>
              <w:rPr>
                <w:rFonts w:hint="eastAsia"/>
                <w:color w:val="auto"/>
              </w:rPr>
              <w:t>较清晰和完整、针对性和可操作性一般的得</w:t>
            </w:r>
            <w:r>
              <w:rPr>
                <w:rFonts w:hint="eastAsia"/>
                <w:color w:val="auto"/>
                <w:lang w:val="en-US" w:eastAsia="zh-CN"/>
              </w:rPr>
              <w:t>3</w:t>
            </w:r>
            <w:r>
              <w:rPr>
                <w:rFonts w:hint="eastAsia"/>
                <w:color w:val="auto"/>
              </w:rPr>
              <w:t>分；</w:t>
            </w:r>
          </w:p>
          <w:p w14:paraId="54F0E225">
            <w:pPr>
              <w:pStyle w:val="5"/>
              <w:spacing w:line="300" w:lineRule="auto"/>
              <w:ind w:firstLine="420"/>
              <w:rPr>
                <w:color w:val="auto"/>
              </w:rPr>
            </w:pPr>
            <w:r>
              <w:rPr>
                <w:rFonts w:hint="eastAsia"/>
                <w:color w:val="auto"/>
              </w:rPr>
              <w:t>针对性和可操作性不合理未能达到</w:t>
            </w:r>
            <w:r>
              <w:rPr>
                <w:rFonts w:hint="eastAsia"/>
                <w:color w:val="auto"/>
                <w:lang w:eastAsia="zh-CN"/>
              </w:rPr>
              <w:t>遴选文件</w:t>
            </w:r>
            <w:r>
              <w:rPr>
                <w:rFonts w:hint="eastAsia"/>
                <w:color w:val="auto"/>
              </w:rPr>
              <w:t>要求的得0分。</w:t>
            </w:r>
          </w:p>
        </w:tc>
        <w:tc>
          <w:tcPr>
            <w:tcW w:w="714" w:type="dxa"/>
            <w:tcBorders>
              <w:top w:val="single" w:color="000000" w:sz="4" w:space="0"/>
              <w:left w:val="nil"/>
              <w:bottom w:val="single" w:color="000000" w:sz="4" w:space="0"/>
              <w:right w:val="single" w:color="000000" w:sz="4" w:space="0"/>
            </w:tcBorders>
            <w:vAlign w:val="center"/>
          </w:tcPr>
          <w:p w14:paraId="1360F689">
            <w:pPr>
              <w:pStyle w:val="5"/>
              <w:spacing w:line="300" w:lineRule="auto"/>
              <w:ind w:firstLine="210" w:firstLineChars="100"/>
              <w:jc w:val="center"/>
              <w:rPr>
                <w:rFonts w:hint="eastAsia" w:eastAsia="宋体"/>
                <w:color w:val="auto"/>
                <w:lang w:eastAsia="zh-CN"/>
              </w:rPr>
            </w:pPr>
            <w:r>
              <w:rPr>
                <w:rFonts w:hint="eastAsia"/>
                <w:color w:val="auto"/>
                <w:lang w:val="en-US" w:eastAsia="zh-CN"/>
              </w:rPr>
              <w:t>5</w:t>
            </w:r>
          </w:p>
        </w:tc>
      </w:tr>
      <w:tr w14:paraId="22B559EF">
        <w:tblPrEx>
          <w:tblCellMar>
            <w:top w:w="0" w:type="dxa"/>
            <w:left w:w="108" w:type="dxa"/>
            <w:bottom w:w="0" w:type="dxa"/>
            <w:right w:w="108" w:type="dxa"/>
          </w:tblCellMar>
        </w:tblPrEx>
        <w:trPr>
          <w:trHeight w:val="23" w:hRule="atLeast"/>
          <w:jc w:val="center"/>
        </w:trPr>
        <w:tc>
          <w:tcPr>
            <w:tcW w:w="654" w:type="dxa"/>
            <w:vMerge w:val="continue"/>
            <w:tcBorders>
              <w:left w:val="single" w:color="000000" w:sz="4" w:space="0"/>
              <w:bottom w:val="single" w:color="000000" w:sz="4" w:space="0"/>
              <w:right w:val="single" w:color="000000" w:sz="4" w:space="0"/>
            </w:tcBorders>
            <w:vAlign w:val="center"/>
          </w:tcPr>
          <w:p w14:paraId="119A91A4">
            <w:pPr>
              <w:widowControl/>
              <w:spacing w:line="300" w:lineRule="auto"/>
              <w:jc w:val="center"/>
              <w:rPr>
                <w:rFonts w:hint="eastAsia"/>
                <w:color w:val="auto"/>
                <w:kern w:val="0"/>
                <w:szCs w:val="21"/>
              </w:rPr>
            </w:pPr>
          </w:p>
        </w:tc>
        <w:tc>
          <w:tcPr>
            <w:tcW w:w="1170" w:type="dxa"/>
            <w:vMerge w:val="continue"/>
            <w:tcBorders>
              <w:left w:val="nil"/>
              <w:bottom w:val="single" w:color="000000" w:sz="4" w:space="0"/>
              <w:right w:val="single" w:color="000000" w:sz="4" w:space="0"/>
            </w:tcBorders>
            <w:vAlign w:val="center"/>
          </w:tcPr>
          <w:p w14:paraId="7C736E87">
            <w:pPr>
              <w:pStyle w:val="5"/>
              <w:spacing w:line="300" w:lineRule="auto"/>
              <w:jc w:val="center"/>
              <w:rPr>
                <w:rFonts w:hint="eastAsia"/>
                <w:color w:val="auto"/>
              </w:rPr>
            </w:pPr>
          </w:p>
        </w:tc>
        <w:tc>
          <w:tcPr>
            <w:tcW w:w="6441" w:type="dxa"/>
            <w:tcBorders>
              <w:top w:val="single" w:color="000000" w:sz="4" w:space="0"/>
              <w:left w:val="nil"/>
              <w:bottom w:val="single" w:color="000000" w:sz="4" w:space="0"/>
              <w:right w:val="single" w:color="000000" w:sz="4" w:space="0"/>
            </w:tcBorders>
            <w:vAlign w:val="center"/>
          </w:tcPr>
          <w:p w14:paraId="4CBCAA4A">
            <w:pPr>
              <w:pStyle w:val="5"/>
              <w:spacing w:line="300" w:lineRule="auto"/>
              <w:ind w:firstLine="420"/>
              <w:rPr>
                <w:color w:val="auto"/>
              </w:rPr>
            </w:pPr>
            <w:r>
              <w:rPr>
                <w:rFonts w:hint="eastAsia"/>
                <w:color w:val="auto"/>
              </w:rPr>
              <w:t>根据项目</w:t>
            </w:r>
            <w:r>
              <w:rPr>
                <w:rFonts w:hint="eastAsia"/>
                <w:color w:val="auto"/>
                <w:lang w:val="en-US" w:eastAsia="zh-CN"/>
              </w:rPr>
              <w:t>招标</w:t>
            </w:r>
            <w:r>
              <w:rPr>
                <w:rFonts w:hint="eastAsia"/>
                <w:color w:val="auto"/>
              </w:rPr>
              <w:t>质量保证措施（包括防止围标串标的措施）、保密措施，</w:t>
            </w:r>
            <w:r>
              <w:rPr>
                <w:rFonts w:hint="eastAsia"/>
                <w:color w:val="auto"/>
                <w:lang w:val="en-US" w:eastAsia="zh-CN"/>
              </w:rPr>
              <w:t>招标</w:t>
            </w:r>
            <w:r>
              <w:rPr>
                <w:rFonts w:hint="eastAsia"/>
                <w:color w:val="auto"/>
              </w:rPr>
              <w:t>档案管理措施，信息化管理措施，酌情评分。</w:t>
            </w:r>
          </w:p>
          <w:p w14:paraId="353434A9">
            <w:pPr>
              <w:pStyle w:val="5"/>
              <w:spacing w:line="300" w:lineRule="auto"/>
              <w:ind w:firstLine="420"/>
              <w:rPr>
                <w:color w:val="auto"/>
              </w:rPr>
            </w:pPr>
            <w:r>
              <w:rPr>
                <w:rFonts w:hint="eastAsia"/>
                <w:color w:val="auto"/>
              </w:rPr>
              <w:t>措施完善，针对性和可操作性强的得</w:t>
            </w:r>
            <w:r>
              <w:rPr>
                <w:rFonts w:hint="eastAsia"/>
                <w:color w:val="auto"/>
                <w:lang w:val="en-US" w:eastAsia="zh-CN"/>
              </w:rPr>
              <w:t>5</w:t>
            </w:r>
            <w:r>
              <w:rPr>
                <w:rFonts w:hint="eastAsia"/>
                <w:color w:val="auto"/>
              </w:rPr>
              <w:t>分；</w:t>
            </w:r>
          </w:p>
          <w:p w14:paraId="1ECD3938">
            <w:pPr>
              <w:pStyle w:val="5"/>
              <w:spacing w:line="300" w:lineRule="auto"/>
              <w:ind w:firstLine="420"/>
              <w:rPr>
                <w:rFonts w:hint="eastAsia"/>
                <w:color w:val="auto"/>
              </w:rPr>
            </w:pPr>
            <w:r>
              <w:rPr>
                <w:rFonts w:hint="eastAsia"/>
                <w:color w:val="auto"/>
              </w:rPr>
              <w:t>措施较完善，针对性和可操作性较强的得</w:t>
            </w:r>
            <w:r>
              <w:rPr>
                <w:rFonts w:hint="eastAsia"/>
                <w:color w:val="auto"/>
                <w:lang w:val="en-US" w:eastAsia="zh-CN"/>
              </w:rPr>
              <w:t>3</w:t>
            </w:r>
            <w:r>
              <w:rPr>
                <w:rFonts w:hint="eastAsia"/>
                <w:color w:val="auto"/>
              </w:rPr>
              <w:t>分；</w:t>
            </w:r>
          </w:p>
          <w:p w14:paraId="6DA3C377">
            <w:pPr>
              <w:pStyle w:val="5"/>
              <w:spacing w:line="300" w:lineRule="auto"/>
              <w:ind w:firstLine="420"/>
              <w:rPr>
                <w:color w:val="auto"/>
              </w:rPr>
            </w:pPr>
            <w:r>
              <w:rPr>
                <w:rFonts w:hint="eastAsia"/>
                <w:color w:val="auto"/>
              </w:rPr>
              <w:t>措施一般，针对性和可操作性一般的得1；</w:t>
            </w:r>
          </w:p>
          <w:p w14:paraId="385FC0C3">
            <w:pPr>
              <w:pStyle w:val="5"/>
              <w:spacing w:line="300" w:lineRule="auto"/>
              <w:ind w:firstLine="420"/>
              <w:rPr>
                <w:color w:val="auto"/>
              </w:rPr>
            </w:pPr>
            <w:r>
              <w:rPr>
                <w:rFonts w:hint="eastAsia"/>
                <w:color w:val="auto"/>
              </w:rPr>
              <w:t>措施不合理未能达到</w:t>
            </w:r>
            <w:r>
              <w:rPr>
                <w:rFonts w:hint="eastAsia"/>
                <w:color w:val="auto"/>
                <w:lang w:eastAsia="zh-CN"/>
              </w:rPr>
              <w:t>遴选文件</w:t>
            </w:r>
            <w:r>
              <w:rPr>
                <w:rFonts w:hint="eastAsia"/>
                <w:color w:val="auto"/>
              </w:rPr>
              <w:t>要求的得0分。</w:t>
            </w:r>
          </w:p>
        </w:tc>
        <w:tc>
          <w:tcPr>
            <w:tcW w:w="714" w:type="dxa"/>
            <w:tcBorders>
              <w:top w:val="single" w:color="000000" w:sz="4" w:space="0"/>
              <w:left w:val="nil"/>
              <w:bottom w:val="single" w:color="000000" w:sz="4" w:space="0"/>
              <w:right w:val="single" w:color="000000" w:sz="4" w:space="0"/>
            </w:tcBorders>
            <w:vAlign w:val="center"/>
          </w:tcPr>
          <w:p w14:paraId="2EFBB2D0">
            <w:pPr>
              <w:pStyle w:val="5"/>
              <w:spacing w:line="300" w:lineRule="auto"/>
              <w:ind w:firstLine="210" w:firstLineChars="100"/>
              <w:jc w:val="center"/>
              <w:rPr>
                <w:rFonts w:hint="eastAsia" w:eastAsia="宋体"/>
                <w:color w:val="auto"/>
                <w:lang w:eastAsia="zh-CN"/>
              </w:rPr>
            </w:pPr>
            <w:r>
              <w:rPr>
                <w:rFonts w:hint="eastAsia"/>
                <w:color w:val="auto"/>
                <w:lang w:val="en-US" w:eastAsia="zh-CN"/>
              </w:rPr>
              <w:t>5</w:t>
            </w:r>
          </w:p>
        </w:tc>
      </w:tr>
      <w:tr w14:paraId="12CBEAB5">
        <w:tblPrEx>
          <w:tblCellMar>
            <w:top w:w="0" w:type="dxa"/>
            <w:left w:w="108" w:type="dxa"/>
            <w:bottom w:w="0" w:type="dxa"/>
            <w:right w:w="108" w:type="dxa"/>
          </w:tblCellMar>
        </w:tblPrEx>
        <w:trPr>
          <w:trHeight w:val="23" w:hRule="atLeast"/>
          <w:jc w:val="center"/>
        </w:trPr>
        <w:tc>
          <w:tcPr>
            <w:tcW w:w="654" w:type="dxa"/>
            <w:tcBorders>
              <w:left w:val="single" w:color="000000" w:sz="4" w:space="0"/>
              <w:bottom w:val="single" w:color="000000" w:sz="4" w:space="0"/>
              <w:right w:val="single" w:color="000000" w:sz="4" w:space="0"/>
            </w:tcBorders>
            <w:vAlign w:val="center"/>
          </w:tcPr>
          <w:p w14:paraId="220A55A6">
            <w:pPr>
              <w:widowControl/>
              <w:spacing w:line="300" w:lineRule="auto"/>
              <w:jc w:val="center"/>
              <w:rPr>
                <w:rFonts w:hint="eastAsia" w:eastAsia="宋体"/>
                <w:color w:val="auto"/>
                <w:kern w:val="0"/>
                <w:szCs w:val="21"/>
                <w:lang w:eastAsia="zh-CN"/>
              </w:rPr>
            </w:pPr>
            <w:r>
              <w:rPr>
                <w:rFonts w:hint="eastAsia"/>
                <w:color w:val="auto"/>
                <w:kern w:val="0"/>
                <w:szCs w:val="21"/>
                <w:lang w:val="en-US" w:eastAsia="zh-CN"/>
              </w:rPr>
              <w:t>7</w:t>
            </w:r>
          </w:p>
        </w:tc>
        <w:tc>
          <w:tcPr>
            <w:tcW w:w="1170" w:type="dxa"/>
            <w:tcBorders>
              <w:left w:val="nil"/>
              <w:bottom w:val="single" w:color="000000" w:sz="4" w:space="0"/>
              <w:right w:val="single" w:color="000000" w:sz="4" w:space="0"/>
            </w:tcBorders>
            <w:vAlign w:val="center"/>
          </w:tcPr>
          <w:p w14:paraId="133E8F53">
            <w:pPr>
              <w:jc w:val="center"/>
              <w:rPr>
                <w:rFonts w:hint="eastAsia"/>
                <w:color w:val="auto"/>
              </w:rPr>
            </w:pPr>
            <w:r>
              <w:rPr>
                <w:rFonts w:hint="eastAsia" w:ascii="宋体" w:hAnsi="宋体" w:cs="宋体"/>
                <w:color w:val="auto"/>
                <w:sz w:val="24"/>
              </w:rPr>
              <w:t>廉洁从业及保密措施（</w:t>
            </w:r>
            <w:r>
              <w:rPr>
                <w:rFonts w:hint="eastAsia" w:ascii="宋体" w:hAnsi="宋体" w:cs="宋体"/>
                <w:color w:val="auto"/>
                <w:sz w:val="24"/>
                <w:lang w:val="en-US" w:eastAsia="zh-CN"/>
              </w:rPr>
              <w:t>5</w:t>
            </w:r>
            <w:r>
              <w:rPr>
                <w:rFonts w:hint="eastAsia" w:ascii="宋体" w:hAnsi="宋体" w:cs="宋体"/>
                <w:color w:val="auto"/>
                <w:sz w:val="24"/>
              </w:rPr>
              <w:t>分）</w:t>
            </w:r>
          </w:p>
        </w:tc>
        <w:tc>
          <w:tcPr>
            <w:tcW w:w="6441" w:type="dxa"/>
            <w:tcBorders>
              <w:top w:val="single" w:color="000000" w:sz="4" w:space="0"/>
              <w:left w:val="nil"/>
              <w:bottom w:val="single" w:color="000000" w:sz="4" w:space="0"/>
              <w:right w:val="single" w:color="000000" w:sz="4" w:space="0"/>
            </w:tcBorders>
            <w:vAlign w:val="center"/>
          </w:tcPr>
          <w:p w14:paraId="29B4B66C">
            <w:pPr>
              <w:pStyle w:val="5"/>
              <w:spacing w:line="300" w:lineRule="auto"/>
              <w:ind w:firstLine="420"/>
              <w:rPr>
                <w:rFonts w:hint="eastAsia"/>
                <w:color w:val="auto"/>
              </w:rPr>
            </w:pPr>
            <w:r>
              <w:rPr>
                <w:rFonts w:hint="eastAsia"/>
                <w:color w:val="auto"/>
              </w:rPr>
              <w:t>提供详尽的廉洁从业及保密措施：</w:t>
            </w:r>
            <w:r>
              <w:rPr>
                <w:rFonts w:hint="eastAsia"/>
                <w:color w:val="auto"/>
                <w:lang w:val="en-US" w:eastAsia="zh-CN"/>
              </w:rPr>
              <w:t>5</w:t>
            </w:r>
            <w:r>
              <w:rPr>
                <w:rFonts w:hint="eastAsia"/>
                <w:color w:val="auto"/>
              </w:rPr>
              <w:t>分；</w:t>
            </w:r>
          </w:p>
          <w:p w14:paraId="0ED2F164">
            <w:pPr>
              <w:pStyle w:val="5"/>
              <w:spacing w:line="300" w:lineRule="auto"/>
              <w:ind w:firstLine="420"/>
              <w:rPr>
                <w:rFonts w:hint="eastAsia"/>
                <w:color w:val="auto"/>
              </w:rPr>
            </w:pPr>
            <w:r>
              <w:rPr>
                <w:rFonts w:hint="eastAsia"/>
                <w:color w:val="auto"/>
              </w:rPr>
              <w:t>提供不甚详尽的廉洁从业及保密措施：</w:t>
            </w:r>
            <w:r>
              <w:rPr>
                <w:rFonts w:hint="eastAsia"/>
                <w:color w:val="auto"/>
                <w:lang w:val="en-US" w:eastAsia="zh-CN"/>
              </w:rPr>
              <w:t>3</w:t>
            </w:r>
            <w:r>
              <w:rPr>
                <w:rFonts w:hint="eastAsia"/>
                <w:color w:val="auto"/>
              </w:rPr>
              <w:t>分；</w:t>
            </w:r>
          </w:p>
          <w:p w14:paraId="463F5477">
            <w:pPr>
              <w:pStyle w:val="5"/>
              <w:spacing w:line="300" w:lineRule="auto"/>
              <w:ind w:firstLine="420"/>
              <w:rPr>
                <w:rFonts w:hint="eastAsia"/>
                <w:color w:val="auto"/>
              </w:rPr>
            </w:pPr>
            <w:r>
              <w:rPr>
                <w:rFonts w:hint="eastAsia"/>
                <w:color w:val="auto"/>
              </w:rPr>
              <w:t>提供简单的廉洁从业及保密措施：</w:t>
            </w:r>
            <w:r>
              <w:rPr>
                <w:rFonts w:hint="eastAsia"/>
                <w:color w:val="auto"/>
                <w:lang w:val="en-US" w:eastAsia="zh-CN"/>
              </w:rPr>
              <w:t>1</w:t>
            </w:r>
            <w:r>
              <w:rPr>
                <w:rFonts w:hint="eastAsia"/>
                <w:color w:val="auto"/>
              </w:rPr>
              <w:t>分；</w:t>
            </w:r>
          </w:p>
          <w:p w14:paraId="6CF480F5">
            <w:pPr>
              <w:pStyle w:val="5"/>
              <w:spacing w:line="300" w:lineRule="auto"/>
              <w:ind w:firstLine="420"/>
              <w:rPr>
                <w:rFonts w:hint="eastAsia" w:eastAsia="宋体"/>
                <w:color w:val="auto"/>
                <w:lang w:eastAsia="zh-CN"/>
              </w:rPr>
            </w:pPr>
            <w:r>
              <w:rPr>
                <w:rFonts w:hint="eastAsia"/>
                <w:color w:val="auto"/>
              </w:rPr>
              <w:t>未提供廉洁从业及保密措施：0分</w:t>
            </w:r>
            <w:r>
              <w:rPr>
                <w:rFonts w:hint="eastAsia"/>
                <w:color w:val="auto"/>
                <w:lang w:eastAsia="zh-CN"/>
              </w:rPr>
              <w:t>。</w:t>
            </w:r>
          </w:p>
        </w:tc>
        <w:tc>
          <w:tcPr>
            <w:tcW w:w="714" w:type="dxa"/>
            <w:tcBorders>
              <w:top w:val="single" w:color="000000" w:sz="4" w:space="0"/>
              <w:left w:val="nil"/>
              <w:bottom w:val="single" w:color="000000" w:sz="4" w:space="0"/>
              <w:right w:val="single" w:color="000000" w:sz="4" w:space="0"/>
            </w:tcBorders>
            <w:vAlign w:val="center"/>
          </w:tcPr>
          <w:p w14:paraId="70E5993A">
            <w:pPr>
              <w:pStyle w:val="5"/>
              <w:spacing w:line="300" w:lineRule="auto"/>
              <w:ind w:firstLine="210" w:firstLineChars="100"/>
              <w:jc w:val="center"/>
              <w:rPr>
                <w:rFonts w:hint="default" w:eastAsia="宋体"/>
                <w:color w:val="auto"/>
                <w:lang w:val="en-US" w:eastAsia="zh-CN"/>
              </w:rPr>
            </w:pPr>
            <w:r>
              <w:rPr>
                <w:rFonts w:hint="eastAsia"/>
                <w:color w:val="auto"/>
                <w:lang w:val="en-US" w:eastAsia="zh-CN"/>
              </w:rPr>
              <w:t>5</w:t>
            </w:r>
          </w:p>
        </w:tc>
      </w:tr>
    </w:tbl>
    <w:p w14:paraId="434C5D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548E5"/>
    <w:multiLevelType w:val="singleLevel"/>
    <w:tmpl w:val="ACF548E5"/>
    <w:lvl w:ilvl="0" w:tentative="0">
      <w:start w:val="1"/>
      <w:numFmt w:val="decimal"/>
      <w:suff w:val="nothing"/>
      <w:lvlText w:val="%1、"/>
      <w:lvlJc w:val="left"/>
    </w:lvl>
  </w:abstractNum>
  <w:abstractNum w:abstractNumId="1">
    <w:nsid w:val="E5B480D8"/>
    <w:multiLevelType w:val="singleLevel"/>
    <w:tmpl w:val="E5B480D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3274"/>
    <w:rsid w:val="011B6997"/>
    <w:rsid w:val="04907CD4"/>
    <w:rsid w:val="0C1048C9"/>
    <w:rsid w:val="0C32124A"/>
    <w:rsid w:val="12C34799"/>
    <w:rsid w:val="13405DEA"/>
    <w:rsid w:val="15530032"/>
    <w:rsid w:val="18716A45"/>
    <w:rsid w:val="1B9C64CF"/>
    <w:rsid w:val="1C1222ED"/>
    <w:rsid w:val="1E636E30"/>
    <w:rsid w:val="2AFE63C9"/>
    <w:rsid w:val="2B4F2C16"/>
    <w:rsid w:val="30237E6B"/>
    <w:rsid w:val="3ED97BF0"/>
    <w:rsid w:val="42C80C1D"/>
    <w:rsid w:val="508E6B2A"/>
    <w:rsid w:val="5800072D"/>
    <w:rsid w:val="71AA3CCF"/>
    <w:rsid w:val="73875771"/>
    <w:rsid w:val="76E800C7"/>
    <w:rsid w:val="77BC2A7B"/>
    <w:rsid w:val="7913539D"/>
    <w:rsid w:val="7B570781"/>
    <w:rsid w:val="7C016BE2"/>
    <w:rsid w:val="7C6F4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1796</Words>
  <Characters>1869</Characters>
  <Lines>0</Lines>
  <Paragraphs>0</Paragraphs>
  <TotalTime>0</TotalTime>
  <ScaleCrop>false</ScaleCrop>
  <LinksUpToDate>false</LinksUpToDate>
  <CharactersWithSpaces>1880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2025-08-29T19:18:00Z</dcterms:created>
  <dc:creator>Administrator</dc:creator>
  <cp:lastModifiedBy>吴峰</cp:lastModifiedBy>
  <dcterms:modified xsi:type="dcterms:W3CDTF">2025-09-26T01:07:17Z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eyJoZGlkIjoiZmJkM2NmMWQzMGEwYTI2MDQzMmNkMmI0MDJkMmE4YzUiLCJ1c2VySWQiOiIxNDc0NTAzNjkxIn0=</vt:lpwstr>
  </property>
  <property fmtid="{D5CDD505-2E9C-101B-9397-08002B2CF9AE}" pid="4" name="ICV">
    <vt:lpwstr>6D3156F45A9243E88898DEA729F829CA_13</vt:lpwstr>
  </property>
</Properties>
</file>